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B4" w:rsidRPr="007840B4" w:rsidRDefault="007840B4" w:rsidP="00583FA4">
      <w:pPr>
        <w:jc w:val="center"/>
        <w:rPr>
          <w:rFonts w:asciiTheme="minorHAnsi" w:hAnsiTheme="minorHAnsi" w:cs="Calibri"/>
          <w:sz w:val="28"/>
          <w:szCs w:val="28"/>
          <w:u w:val="single"/>
        </w:rPr>
      </w:pPr>
    </w:p>
    <w:p w:rsidR="007840B4" w:rsidRPr="007840B4" w:rsidRDefault="007840B4" w:rsidP="007840B4">
      <w:pPr>
        <w:autoSpaceDE w:val="0"/>
        <w:autoSpaceDN w:val="0"/>
        <w:adjustRightInd w:val="0"/>
        <w:rPr>
          <w:rFonts w:asciiTheme="minorHAnsi" w:eastAsiaTheme="minorHAnsi" w:hAnsiTheme="minorHAnsi" w:cs="Shaker2Lancet-Bold"/>
          <w:b/>
          <w:bCs/>
          <w:sz w:val="28"/>
          <w:szCs w:val="28"/>
        </w:rPr>
      </w:pPr>
      <w:r w:rsidRPr="007840B4">
        <w:rPr>
          <w:rFonts w:asciiTheme="minorHAnsi" w:eastAsiaTheme="minorHAnsi" w:hAnsiTheme="minorHAnsi" w:cs="Shaker2Lancet-Bold"/>
          <w:b/>
          <w:bCs/>
          <w:sz w:val="28"/>
          <w:szCs w:val="28"/>
        </w:rPr>
        <w:t>Supplementary appendix</w:t>
      </w:r>
    </w:p>
    <w:p w:rsidR="007840B4" w:rsidRPr="007840B4" w:rsidRDefault="007840B4" w:rsidP="007840B4">
      <w:pPr>
        <w:autoSpaceDE w:val="0"/>
        <w:autoSpaceDN w:val="0"/>
        <w:adjustRightInd w:val="0"/>
        <w:rPr>
          <w:rFonts w:asciiTheme="minorHAnsi" w:eastAsiaTheme="minorHAnsi" w:hAnsiTheme="minorHAnsi" w:cs="Shaker2Lancet-Bold"/>
          <w:bCs/>
          <w:sz w:val="28"/>
          <w:szCs w:val="28"/>
        </w:rPr>
      </w:pPr>
    </w:p>
    <w:p w:rsidR="007840B4" w:rsidRDefault="007840B4" w:rsidP="007840B4">
      <w:pPr>
        <w:autoSpaceDE w:val="0"/>
        <w:autoSpaceDN w:val="0"/>
        <w:adjustRightInd w:val="0"/>
        <w:rPr>
          <w:rFonts w:asciiTheme="minorHAnsi" w:eastAsiaTheme="minorHAnsi" w:hAnsiTheme="minorHAnsi" w:cs="Shaker2Lancet-Regular"/>
          <w:sz w:val="28"/>
          <w:szCs w:val="28"/>
        </w:rPr>
      </w:pPr>
    </w:p>
    <w:p w:rsidR="00FC13D9" w:rsidRPr="00FC13D9" w:rsidRDefault="007840B4" w:rsidP="00FC13D9">
      <w:pPr>
        <w:autoSpaceDE w:val="0"/>
        <w:autoSpaceDN w:val="0"/>
        <w:adjustRightInd w:val="0"/>
        <w:rPr>
          <w:rFonts w:asciiTheme="minorHAnsi" w:eastAsiaTheme="minorHAnsi" w:hAnsiTheme="minorHAnsi" w:cs="Tahoma"/>
          <w:sz w:val="28"/>
          <w:szCs w:val="28"/>
        </w:rPr>
      </w:pPr>
      <w:r w:rsidRPr="00F65057">
        <w:rPr>
          <w:rFonts w:asciiTheme="minorHAnsi" w:eastAsiaTheme="minorHAnsi" w:hAnsiTheme="minorHAnsi" w:cs="Shaker2Lancet-Regular"/>
          <w:sz w:val="28"/>
          <w:szCs w:val="28"/>
        </w:rPr>
        <w:t xml:space="preserve">Supplement to: </w:t>
      </w:r>
      <w:r w:rsidRPr="00F65057">
        <w:rPr>
          <w:rFonts w:asciiTheme="minorHAnsi" w:hAnsiTheme="minorHAnsi" w:cs="Calibri"/>
          <w:sz w:val="28"/>
          <w:szCs w:val="28"/>
          <w:lang w:val="en-GB"/>
        </w:rPr>
        <w:t xml:space="preserve">Ram U, Jha P, </w:t>
      </w:r>
      <w:r w:rsidRPr="00F65057">
        <w:rPr>
          <w:rFonts w:asciiTheme="minorHAnsi" w:hAnsiTheme="minorHAnsi" w:cs="Calibri"/>
          <w:bCs/>
          <w:sz w:val="28"/>
          <w:szCs w:val="28"/>
          <w:lang w:val="en-GB"/>
        </w:rPr>
        <w:t>Gerland P,</w:t>
      </w:r>
      <w:r w:rsidRPr="00F65057">
        <w:rPr>
          <w:rFonts w:asciiTheme="minorHAnsi" w:hAnsiTheme="minorHAnsi" w:cs="Calibri"/>
          <w:sz w:val="28"/>
          <w:szCs w:val="28"/>
          <w:lang w:val="en-GB"/>
        </w:rPr>
        <w:t xml:space="preserve"> et al. </w:t>
      </w:r>
      <w:r w:rsidR="00FC13D9" w:rsidRPr="00F65057">
        <w:rPr>
          <w:rFonts w:asciiTheme="minorHAnsi" w:eastAsiaTheme="minorHAnsi" w:hAnsiTheme="minorHAnsi" w:cs="Tahoma"/>
          <w:b/>
          <w:bCs/>
          <w:color w:val="000000"/>
          <w:sz w:val="28"/>
          <w:szCs w:val="28"/>
        </w:rPr>
        <w:t>Age-specific and sex-specific adult mortality risk in India in 2014: analysis of 0∙27 million nationally surveyed deaths and demographic estimates from 597 districts</w:t>
      </w:r>
    </w:p>
    <w:p w:rsidR="00EB516E" w:rsidRPr="00DE5547" w:rsidRDefault="00EB516E" w:rsidP="008959F6">
      <w:pPr>
        <w:autoSpaceDE w:val="0"/>
        <w:autoSpaceDN w:val="0"/>
        <w:adjustRightInd w:val="0"/>
        <w:rPr>
          <w:rFonts w:asciiTheme="minorHAnsi" w:hAnsiTheme="minorHAnsi" w:cs="Calibri"/>
          <w:b/>
          <w:lang w:val="en-GB"/>
        </w:rPr>
      </w:pPr>
    </w:p>
    <w:p w:rsidR="00EB516E" w:rsidRDefault="00EB516E" w:rsidP="008959F6">
      <w:pPr>
        <w:autoSpaceDE w:val="0"/>
        <w:autoSpaceDN w:val="0"/>
        <w:adjustRightInd w:val="0"/>
        <w:rPr>
          <w:rFonts w:ascii="Tahoma" w:hAnsi="Tahoma" w:cs="Tahoma"/>
          <w:color w:val="000000"/>
          <w:sz w:val="20"/>
          <w:szCs w:val="20"/>
        </w:rPr>
      </w:pPr>
      <w:r>
        <w:rPr>
          <w:rFonts w:ascii="Tahoma" w:hAnsi="Tahoma" w:cs="Tahoma"/>
          <w:color w:val="000000"/>
          <w:sz w:val="20"/>
          <w:szCs w:val="20"/>
        </w:rPr>
        <w:t>The attached tables are available in excel format by emailing the lead authors (</w:t>
      </w:r>
      <w:hyperlink r:id="rId7" w:tgtFrame="_blank" w:history="1">
        <w:r>
          <w:rPr>
            <w:rStyle w:val="Hyperlink"/>
            <w:rFonts w:ascii="Tahoma" w:hAnsi="Tahoma" w:cs="Tahoma"/>
            <w:sz w:val="20"/>
            <w:szCs w:val="20"/>
          </w:rPr>
          <w:t>cghr@smh.ca</w:t>
        </w:r>
      </w:hyperlink>
      <w:r>
        <w:rPr>
          <w:rFonts w:ascii="Tahoma" w:hAnsi="Tahoma" w:cs="Tahoma"/>
          <w:color w:val="000000"/>
          <w:sz w:val="20"/>
          <w:szCs w:val="20"/>
        </w:rPr>
        <w:t>)</w:t>
      </w:r>
    </w:p>
    <w:p w:rsidR="00EB516E" w:rsidRDefault="00EB516E" w:rsidP="008959F6">
      <w:pPr>
        <w:autoSpaceDE w:val="0"/>
        <w:autoSpaceDN w:val="0"/>
        <w:adjustRightInd w:val="0"/>
        <w:rPr>
          <w:rFonts w:ascii="Tahoma" w:hAnsi="Tahoma" w:cs="Tahoma"/>
          <w:color w:val="000000"/>
          <w:sz w:val="20"/>
          <w:szCs w:val="20"/>
        </w:rPr>
      </w:pPr>
    </w:p>
    <w:p w:rsidR="002652C5" w:rsidRPr="005920E6" w:rsidRDefault="002652C5" w:rsidP="002652C5">
      <w:pPr>
        <w:shd w:val="clear" w:color="auto" w:fill="FFFFFF"/>
        <w:jc w:val="center"/>
        <w:rPr>
          <w:rFonts w:eastAsia="Times New Roman"/>
          <w:b/>
          <w:color w:val="222222"/>
          <w:sz w:val="32"/>
          <w:szCs w:val="32"/>
        </w:rPr>
      </w:pPr>
      <w:r w:rsidRPr="005920E6">
        <w:rPr>
          <w:rFonts w:eastAsia="Times New Roman"/>
          <w:b/>
          <w:color w:val="222222"/>
          <w:sz w:val="32"/>
          <w:szCs w:val="32"/>
        </w:rPr>
        <w:t>Contents</w:t>
      </w:r>
    </w:p>
    <w:p w:rsidR="002652C5" w:rsidRPr="00DE5547" w:rsidRDefault="002652C5" w:rsidP="002652C5">
      <w:pPr>
        <w:shd w:val="clear" w:color="auto" w:fill="FFFFFF"/>
        <w:rPr>
          <w:rFonts w:eastAsia="Times New Roman"/>
          <w:color w:val="222222"/>
        </w:rPr>
      </w:pPr>
    </w:p>
    <w:tbl>
      <w:tblPr>
        <w:tblStyle w:val="TableGrid"/>
        <w:tblW w:w="9810" w:type="dxa"/>
        <w:tblInd w:w="-72" w:type="dxa"/>
        <w:tblLook w:val="04A0"/>
      </w:tblPr>
      <w:tblGrid>
        <w:gridCol w:w="1350"/>
        <w:gridCol w:w="7290"/>
        <w:gridCol w:w="1170"/>
      </w:tblGrid>
      <w:tr w:rsidR="002652C5" w:rsidTr="005F1CBD">
        <w:tc>
          <w:tcPr>
            <w:tcW w:w="1350" w:type="dxa"/>
          </w:tcPr>
          <w:p w:rsidR="002652C5" w:rsidRPr="007F56C2" w:rsidRDefault="002652C5" w:rsidP="005F1CBD">
            <w:pPr>
              <w:rPr>
                <w:rFonts w:eastAsia="Times New Roman"/>
                <w:b/>
                <w:color w:val="222222"/>
              </w:rPr>
            </w:pPr>
          </w:p>
        </w:tc>
        <w:tc>
          <w:tcPr>
            <w:tcW w:w="7290" w:type="dxa"/>
          </w:tcPr>
          <w:p w:rsidR="002652C5" w:rsidRPr="007F56C2" w:rsidRDefault="002652C5" w:rsidP="005F1CBD">
            <w:pPr>
              <w:rPr>
                <w:rFonts w:eastAsia="Times New Roman"/>
                <w:b/>
                <w:color w:val="222222"/>
              </w:rPr>
            </w:pPr>
            <w:r w:rsidRPr="007F56C2">
              <w:rPr>
                <w:rFonts w:eastAsia="Times New Roman"/>
                <w:b/>
                <w:color w:val="222222"/>
              </w:rPr>
              <w:t>Description</w:t>
            </w:r>
          </w:p>
        </w:tc>
        <w:tc>
          <w:tcPr>
            <w:tcW w:w="1170" w:type="dxa"/>
          </w:tcPr>
          <w:p w:rsidR="002652C5" w:rsidRPr="007F56C2" w:rsidRDefault="002652C5" w:rsidP="005F1CBD">
            <w:pPr>
              <w:rPr>
                <w:rFonts w:eastAsia="Times New Roman"/>
                <w:b/>
                <w:color w:val="222222"/>
              </w:rPr>
            </w:pPr>
            <w:r w:rsidRPr="007F56C2">
              <w:rPr>
                <w:rFonts w:eastAsia="Times New Roman"/>
                <w:b/>
                <w:color w:val="222222"/>
              </w:rPr>
              <w:t>Page nos.</w:t>
            </w:r>
          </w:p>
        </w:tc>
      </w:tr>
      <w:tr w:rsidR="002652C5" w:rsidTr="005F1CBD">
        <w:tc>
          <w:tcPr>
            <w:tcW w:w="1350" w:type="dxa"/>
          </w:tcPr>
          <w:p w:rsidR="002652C5" w:rsidRPr="007F56C2" w:rsidRDefault="002652C5" w:rsidP="005F1CBD">
            <w:pPr>
              <w:rPr>
                <w:rFonts w:eastAsia="Times New Roman"/>
                <w:color w:val="222222"/>
              </w:rPr>
            </w:pPr>
            <w:r w:rsidRPr="007F56C2">
              <w:rPr>
                <w:rFonts w:eastAsia="Times New Roman"/>
                <w:bCs/>
                <w:color w:val="000000"/>
              </w:rPr>
              <w:t>Web table 1</w:t>
            </w:r>
          </w:p>
        </w:tc>
        <w:tc>
          <w:tcPr>
            <w:tcW w:w="7290" w:type="dxa"/>
          </w:tcPr>
          <w:p w:rsidR="002652C5" w:rsidRPr="007F56C2" w:rsidRDefault="002652C5" w:rsidP="005F1CBD">
            <w:pPr>
              <w:rPr>
                <w:rFonts w:eastAsia="Times New Roman"/>
                <w:color w:val="222222"/>
              </w:rPr>
            </w:pPr>
            <w:r w:rsidRPr="007F56C2">
              <w:rPr>
                <w:rFonts w:eastAsia="Times New Roman"/>
                <w:bCs/>
                <w:color w:val="000000"/>
              </w:rPr>
              <w:t>UN 2014 live births and age-specific deaths for India</w:t>
            </w:r>
          </w:p>
        </w:tc>
        <w:tc>
          <w:tcPr>
            <w:tcW w:w="1170" w:type="dxa"/>
            <w:vAlign w:val="center"/>
          </w:tcPr>
          <w:p w:rsidR="002652C5" w:rsidRPr="007F56C2" w:rsidRDefault="002652C5" w:rsidP="005F1CBD">
            <w:pPr>
              <w:jc w:val="center"/>
              <w:rPr>
                <w:rFonts w:eastAsia="Times New Roman"/>
                <w:color w:val="222222"/>
              </w:rPr>
            </w:pPr>
            <w:r w:rsidRPr="007F56C2">
              <w:rPr>
                <w:rFonts w:eastAsia="Times New Roman"/>
                <w:color w:val="222222"/>
              </w:rPr>
              <w:t>2</w:t>
            </w:r>
          </w:p>
        </w:tc>
      </w:tr>
      <w:tr w:rsidR="002652C5" w:rsidTr="005F1CBD">
        <w:tc>
          <w:tcPr>
            <w:tcW w:w="1350" w:type="dxa"/>
          </w:tcPr>
          <w:p w:rsidR="002652C5" w:rsidRPr="007F56C2" w:rsidRDefault="002652C5" w:rsidP="005F1CBD">
            <w:pPr>
              <w:rPr>
                <w:rFonts w:eastAsia="Times New Roman"/>
                <w:color w:val="222222"/>
              </w:rPr>
            </w:pPr>
          </w:p>
        </w:tc>
        <w:tc>
          <w:tcPr>
            <w:tcW w:w="7290" w:type="dxa"/>
          </w:tcPr>
          <w:p w:rsidR="002652C5" w:rsidRPr="007F56C2" w:rsidRDefault="002652C5" w:rsidP="005F1CBD">
            <w:pPr>
              <w:rPr>
                <w:color w:val="000000" w:themeColor="text1"/>
              </w:rPr>
            </w:pPr>
            <w:r w:rsidRPr="007F56C2">
              <w:rPr>
                <w:color w:val="000000" w:themeColor="text1"/>
              </w:rPr>
              <w:t xml:space="preserve">Determinants of child and adult mortality </w:t>
            </w:r>
          </w:p>
        </w:tc>
        <w:tc>
          <w:tcPr>
            <w:tcW w:w="1170" w:type="dxa"/>
            <w:vAlign w:val="center"/>
          </w:tcPr>
          <w:p w:rsidR="002652C5" w:rsidRPr="007F56C2" w:rsidRDefault="002652C5" w:rsidP="005F1CBD">
            <w:pPr>
              <w:jc w:val="center"/>
              <w:rPr>
                <w:rFonts w:eastAsia="Times New Roman"/>
                <w:color w:val="222222"/>
              </w:rPr>
            </w:pPr>
            <w:r w:rsidRPr="007F56C2">
              <w:rPr>
                <w:rFonts w:eastAsia="Times New Roman"/>
                <w:color w:val="222222"/>
              </w:rPr>
              <w:t>3</w:t>
            </w:r>
          </w:p>
        </w:tc>
      </w:tr>
      <w:tr w:rsidR="002652C5" w:rsidTr="005F1CBD">
        <w:tc>
          <w:tcPr>
            <w:tcW w:w="1350" w:type="dxa"/>
          </w:tcPr>
          <w:p w:rsidR="002652C5" w:rsidRDefault="002652C5" w:rsidP="005F1CBD">
            <w:pPr>
              <w:rPr>
                <w:rFonts w:eastAsia="Times New Roman"/>
                <w:color w:val="222222"/>
              </w:rPr>
            </w:pPr>
            <w:r w:rsidRPr="008434F2">
              <w:rPr>
                <w:rFonts w:eastAsia="Times New Roman"/>
                <w:color w:val="222222"/>
              </w:rPr>
              <w:t>Web table 2</w:t>
            </w:r>
          </w:p>
        </w:tc>
        <w:tc>
          <w:tcPr>
            <w:tcW w:w="7290" w:type="dxa"/>
          </w:tcPr>
          <w:p w:rsidR="002652C5" w:rsidRDefault="002652C5" w:rsidP="005F1CBD">
            <w:pPr>
              <w:rPr>
                <w:rFonts w:eastAsia="Times New Roman"/>
                <w:color w:val="222222"/>
              </w:rPr>
            </w:pPr>
            <w:r w:rsidRPr="008434F2">
              <w:rPr>
                <w:rFonts w:eastAsia="Times New Roman"/>
                <w:color w:val="222222"/>
              </w:rPr>
              <w:t xml:space="preserve">Descriptions of the variables, source and year of data, percentage of missing cases, overall mean and standard deviation (before and after imputation for missing cases) of the known correlated in explaining premature mortality used in the regression analysis for district mortality risk and age </w:t>
            </w:r>
            <w:proofErr w:type="spellStart"/>
            <w:r w:rsidRPr="008434F2">
              <w:rPr>
                <w:rFonts w:eastAsia="Times New Roman"/>
                <w:color w:val="222222"/>
              </w:rPr>
              <w:t>standardised</w:t>
            </w:r>
            <w:proofErr w:type="spellEnd"/>
            <w:r w:rsidRPr="008434F2">
              <w:rPr>
                <w:rFonts w:eastAsia="Times New Roman"/>
                <w:color w:val="222222"/>
              </w:rPr>
              <w:t xml:space="preserve"> mortality for children below 15 years and men and women aged 15-69 , India 2014</w:t>
            </w:r>
          </w:p>
        </w:tc>
        <w:tc>
          <w:tcPr>
            <w:tcW w:w="1170" w:type="dxa"/>
            <w:vAlign w:val="center"/>
          </w:tcPr>
          <w:p w:rsidR="002652C5" w:rsidRDefault="002652C5" w:rsidP="005F1CBD">
            <w:pPr>
              <w:jc w:val="center"/>
              <w:rPr>
                <w:rFonts w:eastAsia="Times New Roman"/>
                <w:color w:val="222222"/>
              </w:rPr>
            </w:pPr>
            <w:r>
              <w:rPr>
                <w:rFonts w:eastAsia="Times New Roman"/>
                <w:color w:val="222222"/>
              </w:rPr>
              <w:t>4-6</w:t>
            </w:r>
          </w:p>
        </w:tc>
      </w:tr>
      <w:tr w:rsidR="002652C5" w:rsidTr="005F1CBD">
        <w:tc>
          <w:tcPr>
            <w:tcW w:w="1350" w:type="dxa"/>
          </w:tcPr>
          <w:p w:rsidR="002652C5" w:rsidRDefault="002652C5" w:rsidP="005F1CBD">
            <w:pPr>
              <w:rPr>
                <w:rFonts w:eastAsia="Times New Roman"/>
                <w:color w:val="222222"/>
              </w:rPr>
            </w:pPr>
            <w:r w:rsidRPr="008434F2">
              <w:rPr>
                <w:rFonts w:eastAsia="Times New Roman"/>
                <w:color w:val="222222"/>
              </w:rPr>
              <w:t>Web table 3</w:t>
            </w:r>
          </w:p>
        </w:tc>
        <w:tc>
          <w:tcPr>
            <w:tcW w:w="7290" w:type="dxa"/>
          </w:tcPr>
          <w:p w:rsidR="002652C5" w:rsidRDefault="002652C5" w:rsidP="0066058A">
            <w:pPr>
              <w:rPr>
                <w:rFonts w:eastAsia="Times New Roman"/>
                <w:color w:val="222222"/>
              </w:rPr>
            </w:pPr>
            <w:r w:rsidRPr="008434F2">
              <w:rPr>
                <w:rFonts w:eastAsia="Times New Roman"/>
                <w:color w:val="222222"/>
              </w:rPr>
              <w:t>Population, death, age-</w:t>
            </w:r>
            <w:proofErr w:type="spellStart"/>
            <w:r w:rsidRPr="008434F2">
              <w:rPr>
                <w:rFonts w:eastAsia="Times New Roman"/>
                <w:color w:val="222222"/>
              </w:rPr>
              <w:t>standardi</w:t>
            </w:r>
            <w:r>
              <w:rPr>
                <w:rFonts w:eastAsia="Times New Roman"/>
                <w:color w:val="222222"/>
              </w:rPr>
              <w:t>s</w:t>
            </w:r>
            <w:r w:rsidRPr="008434F2">
              <w:rPr>
                <w:rFonts w:eastAsia="Times New Roman"/>
                <w:color w:val="222222"/>
              </w:rPr>
              <w:t>ed</w:t>
            </w:r>
            <w:proofErr w:type="spellEnd"/>
            <w:r w:rsidRPr="008434F2">
              <w:rPr>
                <w:rFonts w:eastAsia="Times New Roman"/>
                <w:color w:val="222222"/>
              </w:rPr>
              <w:t xml:space="preserve"> mortality rates (ASMR) and district level conditional probability of dying </w:t>
            </w:r>
            <w:r w:rsidR="0066058A">
              <w:rPr>
                <w:rFonts w:eastAsia="Times New Roman"/>
                <w:color w:val="222222"/>
              </w:rPr>
              <w:t>(</w:t>
            </w:r>
            <w:proofErr w:type="spellStart"/>
            <w:r w:rsidR="0066058A">
              <w:rPr>
                <w:rFonts w:eastAsia="Times New Roman"/>
                <w:color w:val="222222"/>
              </w:rPr>
              <w:t>CpoD</w:t>
            </w:r>
            <w:proofErr w:type="spellEnd"/>
            <w:r w:rsidR="0066058A">
              <w:rPr>
                <w:rFonts w:eastAsia="Times New Roman"/>
                <w:color w:val="222222"/>
              </w:rPr>
              <w:t xml:space="preserve">*) at an age of </w:t>
            </w:r>
            <w:r w:rsidR="00AA48C2">
              <w:rPr>
                <w:rFonts w:eastAsia="Times New Roman"/>
                <w:color w:val="222222"/>
              </w:rPr>
              <w:t>15-69 years</w:t>
            </w:r>
            <w:r w:rsidRPr="008434F2">
              <w:rPr>
                <w:rFonts w:eastAsia="Times New Roman"/>
                <w:color w:val="222222"/>
              </w:rPr>
              <w:t xml:space="preserve"> for men, India, 2014</w:t>
            </w:r>
          </w:p>
        </w:tc>
        <w:tc>
          <w:tcPr>
            <w:tcW w:w="1170" w:type="dxa"/>
            <w:vAlign w:val="center"/>
          </w:tcPr>
          <w:p w:rsidR="002652C5" w:rsidRDefault="002652C5" w:rsidP="005F1CBD">
            <w:pPr>
              <w:jc w:val="center"/>
              <w:rPr>
                <w:rFonts w:eastAsia="Times New Roman"/>
                <w:color w:val="222222"/>
              </w:rPr>
            </w:pPr>
            <w:r>
              <w:rPr>
                <w:rFonts w:eastAsia="Times New Roman"/>
                <w:color w:val="222222"/>
              </w:rPr>
              <w:t>7</w:t>
            </w:r>
          </w:p>
        </w:tc>
      </w:tr>
      <w:tr w:rsidR="002652C5" w:rsidTr="005F1CBD">
        <w:tc>
          <w:tcPr>
            <w:tcW w:w="1350" w:type="dxa"/>
          </w:tcPr>
          <w:p w:rsidR="002652C5" w:rsidRDefault="002652C5" w:rsidP="005F1CBD">
            <w:pPr>
              <w:rPr>
                <w:rFonts w:eastAsia="Times New Roman"/>
                <w:color w:val="222222"/>
              </w:rPr>
            </w:pPr>
            <w:r w:rsidRPr="008434F2">
              <w:rPr>
                <w:rFonts w:eastAsia="Times New Roman"/>
                <w:color w:val="222222"/>
              </w:rPr>
              <w:t xml:space="preserve">Web table </w:t>
            </w:r>
            <w:r>
              <w:rPr>
                <w:rFonts w:eastAsia="Times New Roman"/>
                <w:color w:val="222222"/>
              </w:rPr>
              <w:t>4</w:t>
            </w:r>
          </w:p>
        </w:tc>
        <w:tc>
          <w:tcPr>
            <w:tcW w:w="7290" w:type="dxa"/>
          </w:tcPr>
          <w:p w:rsidR="002652C5" w:rsidRDefault="002652C5" w:rsidP="005F1CBD">
            <w:pPr>
              <w:rPr>
                <w:rFonts w:eastAsia="Times New Roman"/>
                <w:color w:val="222222"/>
              </w:rPr>
            </w:pPr>
            <w:r w:rsidRPr="008434F2">
              <w:rPr>
                <w:rFonts w:eastAsia="Times New Roman"/>
                <w:color w:val="222222"/>
              </w:rPr>
              <w:t>P</w:t>
            </w:r>
            <w:r>
              <w:rPr>
                <w:rFonts w:eastAsia="Times New Roman"/>
                <w:color w:val="222222"/>
              </w:rPr>
              <w:t>opulation, death, age-</w:t>
            </w:r>
            <w:proofErr w:type="spellStart"/>
            <w:r>
              <w:rPr>
                <w:rFonts w:eastAsia="Times New Roman"/>
                <w:color w:val="222222"/>
              </w:rPr>
              <w:t>standardis</w:t>
            </w:r>
            <w:r w:rsidRPr="008434F2">
              <w:rPr>
                <w:rFonts w:eastAsia="Times New Roman"/>
                <w:color w:val="222222"/>
              </w:rPr>
              <w:t>ed</w:t>
            </w:r>
            <w:proofErr w:type="spellEnd"/>
            <w:r w:rsidRPr="008434F2">
              <w:rPr>
                <w:rFonts w:eastAsia="Times New Roman"/>
                <w:color w:val="222222"/>
              </w:rPr>
              <w:t xml:space="preserve"> mortality rates (ASMR) and district level conditional probability of dying </w:t>
            </w:r>
            <w:r w:rsidR="0066058A">
              <w:rPr>
                <w:rFonts w:eastAsia="Times New Roman"/>
                <w:color w:val="222222"/>
              </w:rPr>
              <w:t>(</w:t>
            </w:r>
            <w:proofErr w:type="spellStart"/>
            <w:r w:rsidR="0066058A">
              <w:rPr>
                <w:rFonts w:eastAsia="Times New Roman"/>
                <w:color w:val="222222"/>
              </w:rPr>
              <w:t>CpoD</w:t>
            </w:r>
            <w:proofErr w:type="spellEnd"/>
            <w:r w:rsidR="0066058A">
              <w:rPr>
                <w:rFonts w:eastAsia="Times New Roman"/>
                <w:color w:val="222222"/>
              </w:rPr>
              <w:t xml:space="preserve">*) at an age of </w:t>
            </w:r>
            <w:r w:rsidR="00A574CF">
              <w:rPr>
                <w:rFonts w:eastAsia="Times New Roman"/>
                <w:color w:val="222222"/>
              </w:rPr>
              <w:t>15-69 years</w:t>
            </w:r>
            <w:r w:rsidR="00A574CF" w:rsidRPr="008434F2">
              <w:rPr>
                <w:rFonts w:eastAsia="Times New Roman"/>
                <w:color w:val="222222"/>
              </w:rPr>
              <w:t xml:space="preserve"> </w:t>
            </w:r>
            <w:r w:rsidRPr="008434F2">
              <w:rPr>
                <w:rFonts w:eastAsia="Times New Roman"/>
                <w:color w:val="222222"/>
              </w:rPr>
              <w:t xml:space="preserve">for </w:t>
            </w:r>
            <w:r>
              <w:rPr>
                <w:rFonts w:eastAsia="Times New Roman"/>
                <w:color w:val="222222"/>
              </w:rPr>
              <w:t>wo</w:t>
            </w:r>
            <w:r w:rsidRPr="008434F2">
              <w:rPr>
                <w:rFonts w:eastAsia="Times New Roman"/>
                <w:color w:val="222222"/>
              </w:rPr>
              <w:t>men, India, 2014</w:t>
            </w:r>
          </w:p>
        </w:tc>
        <w:tc>
          <w:tcPr>
            <w:tcW w:w="1170" w:type="dxa"/>
            <w:vAlign w:val="center"/>
          </w:tcPr>
          <w:p w:rsidR="002652C5" w:rsidRDefault="002652C5" w:rsidP="005F1CBD">
            <w:pPr>
              <w:jc w:val="center"/>
              <w:rPr>
                <w:rFonts w:eastAsia="Times New Roman"/>
                <w:color w:val="222222"/>
              </w:rPr>
            </w:pPr>
            <w:r>
              <w:rPr>
                <w:rFonts w:eastAsia="Times New Roman"/>
                <w:color w:val="222222"/>
              </w:rPr>
              <w:t>8</w:t>
            </w:r>
          </w:p>
        </w:tc>
      </w:tr>
      <w:tr w:rsidR="002652C5" w:rsidTr="005F1CBD">
        <w:tc>
          <w:tcPr>
            <w:tcW w:w="1350" w:type="dxa"/>
          </w:tcPr>
          <w:p w:rsidR="002652C5" w:rsidRDefault="002652C5" w:rsidP="005F1CBD">
            <w:pPr>
              <w:rPr>
                <w:rFonts w:eastAsia="Times New Roman"/>
                <w:color w:val="222222"/>
              </w:rPr>
            </w:pPr>
            <w:r w:rsidRPr="008434F2">
              <w:rPr>
                <w:rFonts w:eastAsia="Times New Roman"/>
                <w:color w:val="222222"/>
              </w:rPr>
              <w:t>Web table 5</w:t>
            </w:r>
          </w:p>
        </w:tc>
        <w:tc>
          <w:tcPr>
            <w:tcW w:w="7290" w:type="dxa"/>
          </w:tcPr>
          <w:p w:rsidR="002652C5" w:rsidRDefault="002652C5" w:rsidP="005F1CBD">
            <w:pPr>
              <w:rPr>
                <w:rFonts w:eastAsia="Times New Roman"/>
                <w:color w:val="222222"/>
              </w:rPr>
            </w:pPr>
            <w:r w:rsidRPr="008434F2">
              <w:rPr>
                <w:rFonts w:eastAsia="Times New Roman"/>
                <w:color w:val="222222"/>
              </w:rPr>
              <w:t xml:space="preserve">Population (15-69 years), deaths (15-69 years), death rate (15-69 years), age-standardized death rate (15-69 years), district level conditional probability of dying </w:t>
            </w:r>
            <w:r w:rsidR="0066058A">
              <w:rPr>
                <w:rFonts w:eastAsia="Times New Roman"/>
                <w:color w:val="222222"/>
              </w:rPr>
              <w:t xml:space="preserve">at an age of </w:t>
            </w:r>
            <w:r w:rsidR="00A574CF">
              <w:rPr>
                <w:rFonts w:eastAsia="Times New Roman"/>
                <w:color w:val="222222"/>
              </w:rPr>
              <w:t>15-69 years</w:t>
            </w:r>
            <w:r w:rsidR="00A574CF" w:rsidRPr="008434F2">
              <w:rPr>
                <w:rFonts w:eastAsia="Times New Roman"/>
                <w:color w:val="222222"/>
              </w:rPr>
              <w:t xml:space="preserve"> </w:t>
            </w:r>
            <w:r w:rsidRPr="008434F2">
              <w:rPr>
                <w:rFonts w:eastAsia="Times New Roman"/>
                <w:color w:val="222222"/>
              </w:rPr>
              <w:t>for men, India, 2014</w:t>
            </w:r>
          </w:p>
        </w:tc>
        <w:tc>
          <w:tcPr>
            <w:tcW w:w="1170" w:type="dxa"/>
            <w:vAlign w:val="center"/>
          </w:tcPr>
          <w:p w:rsidR="002652C5" w:rsidRDefault="002652C5" w:rsidP="005F1CBD">
            <w:pPr>
              <w:jc w:val="center"/>
              <w:rPr>
                <w:rFonts w:eastAsia="Times New Roman"/>
                <w:color w:val="222222"/>
              </w:rPr>
            </w:pPr>
            <w:r>
              <w:rPr>
                <w:rFonts w:eastAsia="Times New Roman"/>
                <w:color w:val="222222"/>
              </w:rPr>
              <w:t>9-18</w:t>
            </w:r>
          </w:p>
        </w:tc>
      </w:tr>
      <w:tr w:rsidR="002652C5" w:rsidTr="005F1CBD">
        <w:tc>
          <w:tcPr>
            <w:tcW w:w="1350" w:type="dxa"/>
          </w:tcPr>
          <w:p w:rsidR="002652C5" w:rsidRDefault="002652C5" w:rsidP="005F1CBD">
            <w:pPr>
              <w:rPr>
                <w:rFonts w:eastAsia="Times New Roman"/>
                <w:color w:val="222222"/>
              </w:rPr>
            </w:pPr>
            <w:r w:rsidRPr="008434F2">
              <w:rPr>
                <w:rFonts w:eastAsia="Times New Roman"/>
                <w:color w:val="222222"/>
              </w:rPr>
              <w:t xml:space="preserve">Web table </w:t>
            </w:r>
            <w:r>
              <w:rPr>
                <w:rFonts w:eastAsia="Times New Roman"/>
                <w:color w:val="222222"/>
              </w:rPr>
              <w:t>6</w:t>
            </w:r>
          </w:p>
        </w:tc>
        <w:tc>
          <w:tcPr>
            <w:tcW w:w="7290" w:type="dxa"/>
          </w:tcPr>
          <w:p w:rsidR="002652C5" w:rsidRDefault="002652C5" w:rsidP="005F1CBD">
            <w:pPr>
              <w:rPr>
                <w:rFonts w:eastAsia="Times New Roman"/>
                <w:color w:val="222222"/>
              </w:rPr>
            </w:pPr>
            <w:r w:rsidRPr="008434F2">
              <w:rPr>
                <w:rFonts w:eastAsia="Times New Roman"/>
                <w:color w:val="222222"/>
              </w:rPr>
              <w:t xml:space="preserve">Population (15-69 years), deaths (15-69 years), death rate (15-69 years), age-standardized death rate (15-69 years), district level conditional probability of dying </w:t>
            </w:r>
            <w:r w:rsidR="0066058A">
              <w:rPr>
                <w:rFonts w:eastAsia="Times New Roman"/>
                <w:color w:val="222222"/>
              </w:rPr>
              <w:t xml:space="preserve">at an age of </w:t>
            </w:r>
            <w:r w:rsidR="00A574CF">
              <w:rPr>
                <w:rFonts w:eastAsia="Times New Roman"/>
                <w:color w:val="222222"/>
              </w:rPr>
              <w:t>15-69 years</w:t>
            </w:r>
            <w:r w:rsidR="00A574CF" w:rsidRPr="008434F2">
              <w:rPr>
                <w:rFonts w:eastAsia="Times New Roman"/>
                <w:color w:val="222222"/>
              </w:rPr>
              <w:t xml:space="preserve"> </w:t>
            </w:r>
            <w:r w:rsidRPr="008434F2">
              <w:rPr>
                <w:rFonts w:eastAsia="Times New Roman"/>
                <w:color w:val="222222"/>
              </w:rPr>
              <w:t xml:space="preserve">for </w:t>
            </w:r>
            <w:r>
              <w:rPr>
                <w:rFonts w:eastAsia="Times New Roman"/>
                <w:color w:val="222222"/>
              </w:rPr>
              <w:t>wo</w:t>
            </w:r>
            <w:r w:rsidRPr="008434F2">
              <w:rPr>
                <w:rFonts w:eastAsia="Times New Roman"/>
                <w:color w:val="222222"/>
              </w:rPr>
              <w:t>men, India, 2014</w:t>
            </w:r>
          </w:p>
        </w:tc>
        <w:tc>
          <w:tcPr>
            <w:tcW w:w="1170" w:type="dxa"/>
            <w:vAlign w:val="center"/>
          </w:tcPr>
          <w:p w:rsidR="002652C5" w:rsidRDefault="002652C5" w:rsidP="005F1CBD">
            <w:pPr>
              <w:jc w:val="center"/>
              <w:rPr>
                <w:rFonts w:eastAsia="Times New Roman"/>
                <w:color w:val="222222"/>
              </w:rPr>
            </w:pPr>
            <w:r>
              <w:rPr>
                <w:rFonts w:eastAsia="Times New Roman"/>
                <w:color w:val="222222"/>
              </w:rPr>
              <w:t>19-28</w:t>
            </w:r>
          </w:p>
        </w:tc>
      </w:tr>
      <w:tr w:rsidR="002652C5" w:rsidTr="005F1CBD">
        <w:tc>
          <w:tcPr>
            <w:tcW w:w="1350" w:type="dxa"/>
          </w:tcPr>
          <w:p w:rsidR="002652C5" w:rsidRDefault="002652C5" w:rsidP="005F1CBD">
            <w:pPr>
              <w:rPr>
                <w:rFonts w:eastAsia="Times New Roman"/>
                <w:color w:val="222222"/>
              </w:rPr>
            </w:pPr>
            <w:r w:rsidRPr="0014338F">
              <w:rPr>
                <w:rFonts w:eastAsia="Times New Roman"/>
                <w:color w:val="222222"/>
              </w:rPr>
              <w:t>Web table 7</w:t>
            </w:r>
          </w:p>
        </w:tc>
        <w:tc>
          <w:tcPr>
            <w:tcW w:w="7290" w:type="dxa"/>
          </w:tcPr>
          <w:p w:rsidR="002652C5" w:rsidRDefault="002652C5" w:rsidP="005F1CBD">
            <w:pPr>
              <w:rPr>
                <w:rFonts w:eastAsia="Times New Roman"/>
                <w:color w:val="222222"/>
              </w:rPr>
            </w:pPr>
            <w:r>
              <w:rPr>
                <w:rFonts w:eastAsia="Times New Roman"/>
                <w:color w:val="222222"/>
              </w:rPr>
              <w:t>T</w:t>
            </w:r>
            <w:r w:rsidRPr="0014338F">
              <w:rPr>
                <w:rFonts w:eastAsia="Times New Roman"/>
                <w:color w:val="222222"/>
              </w:rPr>
              <w:t xml:space="preserve">otal number of districts, districts having higher */lower †  conditional probability of dying </w:t>
            </w:r>
            <w:r w:rsidR="0066058A">
              <w:rPr>
                <w:rFonts w:eastAsia="Times New Roman"/>
                <w:color w:val="222222"/>
              </w:rPr>
              <w:t>(</w:t>
            </w:r>
            <w:proofErr w:type="spellStart"/>
            <w:r w:rsidR="0066058A">
              <w:rPr>
                <w:rFonts w:eastAsia="Times New Roman"/>
                <w:color w:val="222222"/>
              </w:rPr>
              <w:t>CpoD</w:t>
            </w:r>
            <w:proofErr w:type="spellEnd"/>
            <w:r w:rsidR="0066058A">
              <w:rPr>
                <w:rFonts w:eastAsia="Times New Roman"/>
                <w:color w:val="222222"/>
              </w:rPr>
              <w:t xml:space="preserve">*) at an age of </w:t>
            </w:r>
            <w:r w:rsidR="00A574CF">
              <w:rPr>
                <w:rFonts w:eastAsia="Times New Roman"/>
                <w:color w:val="222222"/>
              </w:rPr>
              <w:t>15-69 years</w:t>
            </w:r>
            <w:r w:rsidR="00A574CF" w:rsidRPr="008434F2">
              <w:rPr>
                <w:rFonts w:eastAsia="Times New Roman"/>
                <w:color w:val="222222"/>
              </w:rPr>
              <w:t xml:space="preserve"> </w:t>
            </w:r>
            <w:r w:rsidRPr="0014338F">
              <w:rPr>
                <w:rFonts w:eastAsia="Times New Roman"/>
                <w:color w:val="222222"/>
              </w:rPr>
              <w:t>for men and women, India, 2014</w:t>
            </w:r>
          </w:p>
        </w:tc>
        <w:tc>
          <w:tcPr>
            <w:tcW w:w="1170" w:type="dxa"/>
            <w:vAlign w:val="center"/>
          </w:tcPr>
          <w:p w:rsidR="002652C5" w:rsidRDefault="002652C5" w:rsidP="005F1CBD">
            <w:pPr>
              <w:jc w:val="center"/>
              <w:rPr>
                <w:rFonts w:eastAsia="Times New Roman"/>
                <w:color w:val="222222"/>
              </w:rPr>
            </w:pPr>
            <w:r>
              <w:rPr>
                <w:rFonts w:eastAsia="Times New Roman"/>
                <w:color w:val="222222"/>
              </w:rPr>
              <w:t>29</w:t>
            </w:r>
          </w:p>
        </w:tc>
      </w:tr>
      <w:tr w:rsidR="002652C5" w:rsidTr="00421DDE">
        <w:tc>
          <w:tcPr>
            <w:tcW w:w="1350" w:type="dxa"/>
            <w:tcBorders>
              <w:bottom w:val="single" w:sz="4" w:space="0" w:color="auto"/>
            </w:tcBorders>
          </w:tcPr>
          <w:p w:rsidR="002652C5" w:rsidRDefault="002652C5" w:rsidP="00652181">
            <w:pPr>
              <w:rPr>
                <w:rFonts w:eastAsia="Times New Roman"/>
                <w:color w:val="222222"/>
              </w:rPr>
            </w:pPr>
            <w:r w:rsidRPr="0014338F">
              <w:rPr>
                <w:rFonts w:eastAsia="Times New Roman"/>
                <w:color w:val="222222"/>
              </w:rPr>
              <w:t xml:space="preserve">Web table </w:t>
            </w:r>
            <w:r w:rsidR="00652181">
              <w:rPr>
                <w:rFonts w:eastAsia="Times New Roman"/>
                <w:color w:val="222222"/>
              </w:rPr>
              <w:t>8</w:t>
            </w:r>
          </w:p>
        </w:tc>
        <w:tc>
          <w:tcPr>
            <w:tcW w:w="7290" w:type="dxa"/>
            <w:tcBorders>
              <w:bottom w:val="single" w:sz="4" w:space="0" w:color="auto"/>
            </w:tcBorders>
          </w:tcPr>
          <w:p w:rsidR="002652C5" w:rsidRDefault="002652C5" w:rsidP="005F1CBD">
            <w:pPr>
              <w:rPr>
                <w:rFonts w:eastAsia="Times New Roman"/>
                <w:color w:val="222222"/>
              </w:rPr>
            </w:pPr>
            <w:r w:rsidRPr="0014338F">
              <w:rPr>
                <w:rFonts w:eastAsia="Times New Roman"/>
                <w:color w:val="222222"/>
              </w:rPr>
              <w:t xml:space="preserve">Results of the regression analysis for district mortality risk and age </w:t>
            </w:r>
            <w:proofErr w:type="spellStart"/>
            <w:r w:rsidRPr="0014338F">
              <w:rPr>
                <w:rFonts w:eastAsia="Times New Roman"/>
                <w:color w:val="222222"/>
              </w:rPr>
              <w:t>standardi</w:t>
            </w:r>
            <w:r>
              <w:rPr>
                <w:rFonts w:eastAsia="Times New Roman"/>
                <w:color w:val="222222"/>
              </w:rPr>
              <w:t>s</w:t>
            </w:r>
            <w:r w:rsidRPr="0014338F">
              <w:rPr>
                <w:rFonts w:eastAsia="Times New Roman"/>
                <w:color w:val="222222"/>
              </w:rPr>
              <w:t>ed</w:t>
            </w:r>
            <w:proofErr w:type="spellEnd"/>
            <w:r w:rsidRPr="0014338F">
              <w:rPr>
                <w:rFonts w:eastAsia="Times New Roman"/>
                <w:color w:val="222222"/>
              </w:rPr>
              <w:t xml:space="preserve"> mortality for children below 15 years and men and women aged 15-69 years</w:t>
            </w:r>
          </w:p>
        </w:tc>
        <w:tc>
          <w:tcPr>
            <w:tcW w:w="1170" w:type="dxa"/>
            <w:tcBorders>
              <w:bottom w:val="single" w:sz="4" w:space="0" w:color="auto"/>
            </w:tcBorders>
            <w:vAlign w:val="center"/>
          </w:tcPr>
          <w:p w:rsidR="002652C5" w:rsidRDefault="002652C5" w:rsidP="005F1CBD">
            <w:pPr>
              <w:jc w:val="center"/>
              <w:rPr>
                <w:rFonts w:eastAsia="Times New Roman"/>
                <w:color w:val="222222"/>
              </w:rPr>
            </w:pPr>
            <w:r>
              <w:rPr>
                <w:rFonts w:eastAsia="Times New Roman"/>
                <w:color w:val="222222"/>
              </w:rPr>
              <w:t>30</w:t>
            </w:r>
          </w:p>
        </w:tc>
      </w:tr>
      <w:tr w:rsidR="00421DDE" w:rsidTr="00421DDE">
        <w:tc>
          <w:tcPr>
            <w:tcW w:w="1350" w:type="dxa"/>
            <w:tcBorders>
              <w:top w:val="single" w:sz="4" w:space="0" w:color="auto"/>
              <w:left w:val="nil"/>
              <w:bottom w:val="nil"/>
              <w:right w:val="nil"/>
            </w:tcBorders>
          </w:tcPr>
          <w:p w:rsidR="00421DDE" w:rsidRPr="0014338F" w:rsidRDefault="00421DDE" w:rsidP="00421DDE">
            <w:pPr>
              <w:rPr>
                <w:rFonts w:eastAsia="Times New Roman"/>
                <w:color w:val="222222"/>
              </w:rPr>
            </w:pPr>
          </w:p>
        </w:tc>
        <w:tc>
          <w:tcPr>
            <w:tcW w:w="7290" w:type="dxa"/>
            <w:tcBorders>
              <w:top w:val="single" w:sz="4" w:space="0" w:color="auto"/>
              <w:left w:val="nil"/>
              <w:bottom w:val="nil"/>
              <w:right w:val="nil"/>
            </w:tcBorders>
          </w:tcPr>
          <w:p w:rsidR="00421DDE" w:rsidRPr="0014338F" w:rsidRDefault="00421DDE" w:rsidP="00421DDE">
            <w:pPr>
              <w:rPr>
                <w:rFonts w:eastAsia="Times New Roman"/>
                <w:color w:val="222222"/>
              </w:rPr>
            </w:pPr>
          </w:p>
        </w:tc>
        <w:tc>
          <w:tcPr>
            <w:tcW w:w="1170" w:type="dxa"/>
            <w:tcBorders>
              <w:top w:val="single" w:sz="4" w:space="0" w:color="auto"/>
              <w:left w:val="nil"/>
              <w:bottom w:val="nil"/>
              <w:right w:val="nil"/>
            </w:tcBorders>
            <w:vAlign w:val="center"/>
          </w:tcPr>
          <w:p w:rsidR="00421DDE" w:rsidRDefault="00421DDE" w:rsidP="00421DDE">
            <w:pPr>
              <w:rPr>
                <w:rFonts w:eastAsia="Times New Roman"/>
                <w:color w:val="222222"/>
              </w:rPr>
            </w:pPr>
          </w:p>
        </w:tc>
      </w:tr>
    </w:tbl>
    <w:p w:rsidR="002652C5" w:rsidRDefault="002652C5" w:rsidP="002652C5">
      <w:pPr>
        <w:shd w:val="clear" w:color="auto" w:fill="FFFFFF"/>
        <w:rPr>
          <w:rFonts w:eastAsia="Times New Roman"/>
          <w:color w:val="222222"/>
        </w:rPr>
      </w:pPr>
    </w:p>
    <w:p w:rsidR="00460380" w:rsidRDefault="00460380" w:rsidP="008959F6">
      <w:pPr>
        <w:autoSpaceDE w:val="0"/>
        <w:autoSpaceDN w:val="0"/>
        <w:adjustRightInd w:val="0"/>
        <w:rPr>
          <w:rFonts w:asciiTheme="minorHAnsi" w:hAnsiTheme="minorHAnsi" w:cs="Calibri"/>
          <w:b/>
          <w:sz w:val="28"/>
          <w:szCs w:val="28"/>
          <w:lang w:val="en-GB"/>
        </w:rPr>
      </w:pPr>
    </w:p>
    <w:p w:rsidR="00460380" w:rsidRDefault="00460380" w:rsidP="008959F6">
      <w:pPr>
        <w:autoSpaceDE w:val="0"/>
        <w:autoSpaceDN w:val="0"/>
        <w:adjustRightInd w:val="0"/>
        <w:rPr>
          <w:rFonts w:asciiTheme="minorHAnsi" w:hAnsiTheme="minorHAnsi" w:cs="Calibri"/>
          <w:b/>
          <w:sz w:val="28"/>
          <w:szCs w:val="28"/>
          <w:lang w:val="en-GB"/>
        </w:rPr>
      </w:pPr>
    </w:p>
    <w:p w:rsidR="00A16720" w:rsidRDefault="00A16720">
      <w:pPr>
        <w:spacing w:after="200" w:line="276" w:lineRule="auto"/>
        <w:rPr>
          <w:rFonts w:asciiTheme="minorHAnsi" w:hAnsiTheme="minorHAnsi" w:cs="Calibri"/>
          <w:b/>
        </w:rPr>
      </w:pPr>
      <w:r>
        <w:rPr>
          <w:rFonts w:asciiTheme="minorHAnsi" w:hAnsiTheme="minorHAnsi" w:cs="Calibri"/>
          <w:b/>
        </w:rPr>
        <w:br w:type="page"/>
      </w:r>
    </w:p>
    <w:p w:rsidR="00460380" w:rsidRPr="00484E85" w:rsidRDefault="00460380" w:rsidP="00460380">
      <w:pPr>
        <w:rPr>
          <w:rFonts w:asciiTheme="minorHAnsi" w:hAnsiTheme="minorHAnsi" w:cs="Calibri"/>
          <w:b/>
        </w:rPr>
      </w:pPr>
      <w:r w:rsidRPr="00484E85">
        <w:rPr>
          <w:rFonts w:asciiTheme="minorHAnsi" w:hAnsiTheme="minorHAnsi" w:cs="Calibri"/>
          <w:b/>
        </w:rPr>
        <w:lastRenderedPageBreak/>
        <w:t xml:space="preserve">Inputs </w:t>
      </w:r>
      <w:r>
        <w:rPr>
          <w:rFonts w:asciiTheme="minorHAnsi" w:hAnsiTheme="minorHAnsi" w:cs="Calibri"/>
          <w:b/>
        </w:rPr>
        <w:t>to methods</w:t>
      </w:r>
      <w:r w:rsidRPr="00484E85">
        <w:rPr>
          <w:rFonts w:asciiTheme="minorHAnsi" w:hAnsiTheme="minorHAnsi" w:cs="Calibri"/>
          <w:b/>
        </w:rPr>
        <w:t>:</w:t>
      </w:r>
    </w:p>
    <w:p w:rsidR="00460380" w:rsidRDefault="00460380" w:rsidP="00460380">
      <w:pPr>
        <w:rPr>
          <w:rFonts w:asciiTheme="minorHAnsi" w:hAnsiTheme="minorHAnsi" w:cs="Calibri"/>
          <w:b/>
        </w:rPr>
      </w:pPr>
    </w:p>
    <w:p w:rsidR="00460380" w:rsidRPr="00C737CE" w:rsidRDefault="00460380" w:rsidP="00460380">
      <w:pPr>
        <w:rPr>
          <w:rFonts w:asciiTheme="minorHAnsi" w:hAnsiTheme="minorHAnsi" w:cs="Calibri"/>
          <w:sz w:val="22"/>
          <w:szCs w:val="22"/>
        </w:rPr>
      </w:pPr>
      <w:r w:rsidRPr="00C737CE">
        <w:rPr>
          <w:rFonts w:asciiTheme="minorHAnsi" w:hAnsiTheme="minorHAnsi" w:cs="Calibri"/>
          <w:sz w:val="22"/>
          <w:szCs w:val="22"/>
        </w:rPr>
        <w:t>The main text provides the key methods used for the calculations of the age and gender-specific death rates. These are additional details.</w:t>
      </w:r>
    </w:p>
    <w:p w:rsidR="00460380" w:rsidRPr="00C737CE" w:rsidRDefault="00460380" w:rsidP="00460380">
      <w:pPr>
        <w:rPr>
          <w:rFonts w:asciiTheme="minorHAnsi" w:hAnsiTheme="minorHAnsi" w:cs="Calibri"/>
          <w:b/>
          <w:sz w:val="22"/>
          <w:szCs w:val="22"/>
        </w:rPr>
      </w:pPr>
    </w:p>
    <w:p w:rsidR="00460380" w:rsidRPr="00C737CE" w:rsidRDefault="00460380" w:rsidP="00460380">
      <w:pPr>
        <w:rPr>
          <w:rFonts w:asciiTheme="minorHAnsi" w:hAnsiTheme="minorHAnsi" w:cs="Calibri"/>
          <w:b/>
          <w:sz w:val="22"/>
          <w:szCs w:val="22"/>
          <w:u w:val="single"/>
        </w:rPr>
      </w:pPr>
      <w:r w:rsidRPr="00C737CE">
        <w:rPr>
          <w:rFonts w:asciiTheme="minorHAnsi" w:hAnsiTheme="minorHAnsi" w:cs="Calibri"/>
          <w:b/>
          <w:sz w:val="22"/>
          <w:szCs w:val="22"/>
          <w:u w:val="single"/>
        </w:rPr>
        <w:t>UN national deaths for India – 201</w:t>
      </w:r>
      <w:r w:rsidR="002F290D" w:rsidRPr="00C737CE">
        <w:rPr>
          <w:rFonts w:asciiTheme="minorHAnsi" w:hAnsiTheme="minorHAnsi" w:cs="Calibri"/>
          <w:b/>
          <w:sz w:val="22"/>
          <w:szCs w:val="22"/>
          <w:u w:val="single"/>
        </w:rPr>
        <w:t>4</w:t>
      </w:r>
      <w:r w:rsidRPr="00C737CE">
        <w:rPr>
          <w:rFonts w:asciiTheme="minorHAnsi" w:hAnsiTheme="minorHAnsi" w:cs="Calibri"/>
          <w:b/>
          <w:sz w:val="22"/>
          <w:szCs w:val="22"/>
          <w:u w:val="single"/>
        </w:rPr>
        <w:t xml:space="preserve">: </w:t>
      </w:r>
      <w:r w:rsidRPr="00C737CE">
        <w:rPr>
          <w:rFonts w:asciiTheme="minorHAnsi" w:hAnsiTheme="minorHAnsi" w:cs="Calibri"/>
          <w:sz w:val="22"/>
          <w:szCs w:val="22"/>
        </w:rPr>
        <w:t>We use UN live births and deaths for India for the year 201</w:t>
      </w:r>
      <w:r w:rsidR="002F290D" w:rsidRPr="00C737CE">
        <w:rPr>
          <w:rFonts w:asciiTheme="minorHAnsi" w:hAnsiTheme="minorHAnsi" w:cs="Calibri"/>
          <w:sz w:val="22"/>
          <w:szCs w:val="22"/>
        </w:rPr>
        <w:t>4</w:t>
      </w:r>
      <w:r w:rsidRPr="00C737CE">
        <w:rPr>
          <w:rFonts w:asciiTheme="minorHAnsi" w:hAnsiTheme="minorHAnsi" w:cs="Calibri"/>
          <w:sz w:val="22"/>
          <w:szCs w:val="22"/>
        </w:rPr>
        <w:t xml:space="preserve"> for males and females.</w:t>
      </w:r>
    </w:p>
    <w:tbl>
      <w:tblPr>
        <w:tblW w:w="6589" w:type="dxa"/>
        <w:tblInd w:w="1008" w:type="dxa"/>
        <w:tblLook w:val="04A0"/>
      </w:tblPr>
      <w:tblGrid>
        <w:gridCol w:w="1980"/>
        <w:gridCol w:w="1440"/>
        <w:gridCol w:w="1530"/>
        <w:gridCol w:w="1639"/>
      </w:tblGrid>
      <w:tr w:rsidR="00460380" w:rsidRPr="00C737CE" w:rsidTr="00F0005A">
        <w:trPr>
          <w:trHeight w:val="901"/>
        </w:trPr>
        <w:tc>
          <w:tcPr>
            <w:tcW w:w="6589" w:type="dxa"/>
            <w:gridSpan w:val="4"/>
            <w:tcBorders>
              <w:top w:val="nil"/>
              <w:left w:val="nil"/>
              <w:right w:val="nil"/>
            </w:tcBorders>
            <w:shd w:val="clear" w:color="auto" w:fill="auto"/>
            <w:noWrap/>
            <w:vAlign w:val="bottom"/>
            <w:hideMark/>
          </w:tcPr>
          <w:p w:rsidR="00460380" w:rsidRDefault="00460380" w:rsidP="002F290D">
            <w:pPr>
              <w:rPr>
                <w:rFonts w:asciiTheme="minorHAnsi" w:eastAsia="Times New Roman" w:hAnsiTheme="minorHAnsi"/>
                <w:b/>
                <w:bCs/>
                <w:color w:val="000000"/>
              </w:rPr>
            </w:pPr>
            <w:r w:rsidRPr="00C737CE">
              <w:rPr>
                <w:rFonts w:asciiTheme="minorHAnsi" w:eastAsia="Times New Roman" w:hAnsiTheme="minorHAnsi"/>
                <w:b/>
                <w:bCs/>
                <w:color w:val="000000"/>
                <w:sz w:val="22"/>
                <w:szCs w:val="22"/>
              </w:rPr>
              <w:t>Web table 1: UN 201</w:t>
            </w:r>
            <w:r w:rsidR="002F290D" w:rsidRPr="00C737CE">
              <w:rPr>
                <w:rFonts w:asciiTheme="minorHAnsi" w:eastAsia="Times New Roman" w:hAnsiTheme="minorHAnsi"/>
                <w:b/>
                <w:bCs/>
                <w:color w:val="000000"/>
                <w:sz w:val="22"/>
                <w:szCs w:val="22"/>
              </w:rPr>
              <w:t>4</w:t>
            </w:r>
            <w:r w:rsidRPr="00C737CE">
              <w:rPr>
                <w:rFonts w:asciiTheme="minorHAnsi" w:eastAsia="Times New Roman" w:hAnsiTheme="minorHAnsi"/>
                <w:b/>
                <w:bCs/>
                <w:color w:val="000000"/>
                <w:sz w:val="22"/>
                <w:szCs w:val="22"/>
              </w:rPr>
              <w:t xml:space="preserve"> live births and age-specific deaths for India</w:t>
            </w:r>
          </w:p>
          <w:p w:rsidR="00F0005A" w:rsidRPr="00C737CE" w:rsidRDefault="00F0005A" w:rsidP="002F290D">
            <w:pPr>
              <w:rPr>
                <w:rFonts w:asciiTheme="minorHAnsi" w:eastAsia="Times New Roman" w:hAnsiTheme="minorHAnsi"/>
                <w:b/>
                <w:bCs/>
                <w:color w:val="000000"/>
              </w:rPr>
            </w:pPr>
          </w:p>
        </w:tc>
        <w:bookmarkStart w:id="0" w:name="_GoBack"/>
        <w:bookmarkEnd w:id="0"/>
      </w:tr>
      <w:tr w:rsidR="00460380" w:rsidRPr="00C737CE" w:rsidTr="00F0005A">
        <w:trPr>
          <w:trHeight w:val="315"/>
        </w:trPr>
        <w:tc>
          <w:tcPr>
            <w:tcW w:w="1980" w:type="dxa"/>
            <w:tcBorders>
              <w:top w:val="single" w:sz="4" w:space="0" w:color="auto"/>
              <w:left w:val="nil"/>
              <w:bottom w:val="single" w:sz="4" w:space="0" w:color="auto"/>
              <w:right w:val="nil"/>
            </w:tcBorders>
            <w:shd w:val="clear" w:color="auto" w:fill="auto"/>
            <w:noWrap/>
            <w:vAlign w:val="bottom"/>
            <w:hideMark/>
          </w:tcPr>
          <w:p w:rsidR="00460380" w:rsidRPr="00C737CE" w:rsidRDefault="00460380" w:rsidP="006577CC">
            <w:pPr>
              <w:rPr>
                <w:rFonts w:asciiTheme="minorHAnsi" w:eastAsia="Times New Roman" w:hAnsiTheme="minorHAnsi"/>
                <w:b/>
                <w:color w:val="000000"/>
              </w:rPr>
            </w:pPr>
            <w:r w:rsidRPr="00C737CE">
              <w:rPr>
                <w:rFonts w:asciiTheme="minorHAnsi" w:eastAsia="Times New Roman" w:hAnsiTheme="minorHAnsi"/>
                <w:b/>
                <w:color w:val="000000"/>
                <w:sz w:val="22"/>
                <w:szCs w:val="22"/>
              </w:rPr>
              <w:t>Births/Deaths</w:t>
            </w:r>
          </w:p>
        </w:tc>
        <w:tc>
          <w:tcPr>
            <w:tcW w:w="1440" w:type="dxa"/>
            <w:tcBorders>
              <w:top w:val="single" w:sz="4" w:space="0" w:color="auto"/>
              <w:left w:val="nil"/>
              <w:bottom w:val="single" w:sz="4" w:space="0" w:color="auto"/>
              <w:right w:val="nil"/>
            </w:tcBorders>
            <w:shd w:val="clear" w:color="auto" w:fill="auto"/>
            <w:noWrap/>
            <w:vAlign w:val="bottom"/>
            <w:hideMark/>
          </w:tcPr>
          <w:p w:rsidR="00460380" w:rsidRPr="00C737CE" w:rsidRDefault="00460380" w:rsidP="006577CC">
            <w:pPr>
              <w:jc w:val="right"/>
              <w:rPr>
                <w:rFonts w:asciiTheme="minorHAnsi" w:eastAsia="Times New Roman" w:hAnsiTheme="minorHAnsi"/>
                <w:b/>
                <w:color w:val="000000"/>
              </w:rPr>
            </w:pPr>
            <w:r w:rsidRPr="00C737CE">
              <w:rPr>
                <w:rFonts w:asciiTheme="minorHAnsi" w:eastAsia="Times New Roman" w:hAnsiTheme="minorHAnsi"/>
                <w:b/>
                <w:color w:val="000000"/>
                <w:sz w:val="22"/>
                <w:szCs w:val="22"/>
              </w:rPr>
              <w:t>Male</w:t>
            </w:r>
          </w:p>
        </w:tc>
        <w:tc>
          <w:tcPr>
            <w:tcW w:w="1530" w:type="dxa"/>
            <w:tcBorders>
              <w:top w:val="single" w:sz="4" w:space="0" w:color="auto"/>
              <w:left w:val="nil"/>
              <w:bottom w:val="single" w:sz="4" w:space="0" w:color="auto"/>
              <w:right w:val="nil"/>
            </w:tcBorders>
            <w:shd w:val="clear" w:color="auto" w:fill="auto"/>
            <w:noWrap/>
            <w:vAlign w:val="bottom"/>
            <w:hideMark/>
          </w:tcPr>
          <w:p w:rsidR="00460380" w:rsidRPr="00C737CE" w:rsidRDefault="00460380" w:rsidP="006577CC">
            <w:pPr>
              <w:jc w:val="right"/>
              <w:rPr>
                <w:rFonts w:asciiTheme="minorHAnsi" w:eastAsia="Times New Roman" w:hAnsiTheme="minorHAnsi"/>
                <w:b/>
                <w:color w:val="000000"/>
              </w:rPr>
            </w:pPr>
            <w:r w:rsidRPr="00C737CE">
              <w:rPr>
                <w:rFonts w:asciiTheme="minorHAnsi" w:eastAsia="Times New Roman" w:hAnsiTheme="minorHAnsi"/>
                <w:b/>
                <w:color w:val="000000"/>
                <w:sz w:val="22"/>
                <w:szCs w:val="22"/>
              </w:rPr>
              <w:t>Female</w:t>
            </w:r>
          </w:p>
        </w:tc>
        <w:tc>
          <w:tcPr>
            <w:tcW w:w="1639" w:type="dxa"/>
            <w:tcBorders>
              <w:top w:val="single" w:sz="4" w:space="0" w:color="auto"/>
              <w:left w:val="nil"/>
              <w:bottom w:val="single" w:sz="4" w:space="0" w:color="auto"/>
              <w:right w:val="nil"/>
            </w:tcBorders>
            <w:shd w:val="clear" w:color="auto" w:fill="auto"/>
            <w:noWrap/>
            <w:vAlign w:val="bottom"/>
            <w:hideMark/>
          </w:tcPr>
          <w:p w:rsidR="00460380" w:rsidRPr="00C737CE" w:rsidRDefault="00460380" w:rsidP="006577CC">
            <w:pPr>
              <w:jc w:val="right"/>
              <w:rPr>
                <w:rFonts w:asciiTheme="minorHAnsi" w:eastAsia="Times New Roman" w:hAnsiTheme="minorHAnsi"/>
                <w:b/>
                <w:color w:val="000000"/>
              </w:rPr>
            </w:pPr>
            <w:r w:rsidRPr="00C737CE">
              <w:rPr>
                <w:rFonts w:asciiTheme="minorHAnsi" w:eastAsia="Times New Roman" w:hAnsiTheme="minorHAnsi"/>
                <w:b/>
                <w:color w:val="000000"/>
                <w:sz w:val="22"/>
                <w:szCs w:val="22"/>
              </w:rPr>
              <w:t>Both Sex</w:t>
            </w:r>
          </w:p>
        </w:tc>
      </w:tr>
      <w:tr w:rsidR="00460380" w:rsidRPr="00C737CE" w:rsidTr="00F0005A">
        <w:trPr>
          <w:trHeight w:val="315"/>
        </w:trPr>
        <w:tc>
          <w:tcPr>
            <w:tcW w:w="1980" w:type="dxa"/>
            <w:tcBorders>
              <w:top w:val="nil"/>
              <w:left w:val="nil"/>
              <w:bottom w:val="nil"/>
              <w:right w:val="nil"/>
            </w:tcBorders>
            <w:shd w:val="clear" w:color="auto" w:fill="auto"/>
            <w:noWrap/>
            <w:vAlign w:val="bottom"/>
            <w:hideMark/>
          </w:tcPr>
          <w:p w:rsidR="00460380" w:rsidRPr="00C737CE" w:rsidRDefault="00460380" w:rsidP="006577CC">
            <w:pPr>
              <w:rPr>
                <w:rFonts w:asciiTheme="minorHAnsi" w:eastAsia="Times New Roman" w:hAnsiTheme="minorHAnsi"/>
                <w:b/>
                <w:color w:val="000000"/>
              </w:rPr>
            </w:pPr>
          </w:p>
        </w:tc>
        <w:tc>
          <w:tcPr>
            <w:tcW w:w="1440" w:type="dxa"/>
            <w:tcBorders>
              <w:top w:val="nil"/>
              <w:left w:val="nil"/>
              <w:bottom w:val="nil"/>
              <w:right w:val="nil"/>
            </w:tcBorders>
            <w:shd w:val="clear" w:color="auto" w:fill="auto"/>
            <w:noWrap/>
            <w:vAlign w:val="bottom"/>
            <w:hideMark/>
          </w:tcPr>
          <w:p w:rsidR="00460380" w:rsidRPr="00C737CE" w:rsidRDefault="00460380" w:rsidP="006577CC">
            <w:pPr>
              <w:rPr>
                <w:rFonts w:asciiTheme="minorHAnsi" w:eastAsia="Times New Roman" w:hAnsiTheme="minorHAnsi"/>
                <w:b/>
                <w:color w:val="000000"/>
              </w:rPr>
            </w:pPr>
          </w:p>
        </w:tc>
        <w:tc>
          <w:tcPr>
            <w:tcW w:w="1530" w:type="dxa"/>
            <w:tcBorders>
              <w:top w:val="nil"/>
              <w:left w:val="nil"/>
              <w:bottom w:val="nil"/>
              <w:right w:val="nil"/>
            </w:tcBorders>
            <w:shd w:val="clear" w:color="auto" w:fill="auto"/>
            <w:noWrap/>
            <w:vAlign w:val="bottom"/>
            <w:hideMark/>
          </w:tcPr>
          <w:p w:rsidR="00460380" w:rsidRPr="00C737CE" w:rsidRDefault="00460380" w:rsidP="006577CC">
            <w:pPr>
              <w:rPr>
                <w:rFonts w:asciiTheme="minorHAnsi" w:eastAsia="Times New Roman" w:hAnsiTheme="minorHAnsi"/>
                <w:b/>
                <w:color w:val="000000"/>
              </w:rPr>
            </w:pPr>
          </w:p>
        </w:tc>
        <w:tc>
          <w:tcPr>
            <w:tcW w:w="1639" w:type="dxa"/>
            <w:tcBorders>
              <w:top w:val="nil"/>
              <w:left w:val="nil"/>
              <w:bottom w:val="nil"/>
              <w:right w:val="nil"/>
            </w:tcBorders>
            <w:shd w:val="clear" w:color="auto" w:fill="auto"/>
            <w:noWrap/>
            <w:vAlign w:val="bottom"/>
            <w:hideMark/>
          </w:tcPr>
          <w:p w:rsidR="00460380" w:rsidRPr="00C737CE" w:rsidRDefault="00460380" w:rsidP="006577CC">
            <w:pPr>
              <w:rPr>
                <w:rFonts w:asciiTheme="minorHAnsi" w:eastAsia="Times New Roman" w:hAnsiTheme="minorHAnsi"/>
                <w:b/>
                <w:color w:val="000000"/>
              </w:rPr>
            </w:pP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rPr>
                <w:rFonts w:asciiTheme="minorHAnsi" w:eastAsia="Times New Roman" w:hAnsiTheme="minorHAnsi"/>
                <w:b/>
                <w:bCs/>
                <w:color w:val="000000"/>
              </w:rPr>
            </w:pPr>
            <w:r w:rsidRPr="00C737CE">
              <w:rPr>
                <w:rFonts w:asciiTheme="minorHAnsi" w:eastAsia="Times New Roman" w:hAnsiTheme="minorHAnsi"/>
                <w:b/>
                <w:bCs/>
                <w:color w:val="000000"/>
                <w:sz w:val="22"/>
                <w:szCs w:val="22"/>
              </w:rPr>
              <w:t>Live Births</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color w:val="000000"/>
              </w:rPr>
            </w:pPr>
            <w:r w:rsidRPr="00C737CE">
              <w:rPr>
                <w:rFonts w:asciiTheme="minorHAnsi" w:hAnsiTheme="minorHAnsi"/>
                <w:color w:val="000000"/>
                <w:sz w:val="22"/>
                <w:szCs w:val="22"/>
              </w:rPr>
              <w:t>14,586,171</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color w:val="000000"/>
              </w:rPr>
            </w:pPr>
            <w:r w:rsidRPr="00C737CE">
              <w:rPr>
                <w:rFonts w:asciiTheme="minorHAnsi" w:hAnsiTheme="minorHAnsi"/>
                <w:color w:val="000000"/>
                <w:sz w:val="22"/>
                <w:szCs w:val="22"/>
              </w:rPr>
              <w:t>13,169,226</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color w:val="000000"/>
              </w:rPr>
            </w:pPr>
            <w:r w:rsidRPr="00C737CE">
              <w:rPr>
                <w:rFonts w:asciiTheme="minorHAnsi" w:hAnsiTheme="minorHAnsi"/>
                <w:color w:val="000000"/>
                <w:sz w:val="22"/>
                <w:szCs w:val="22"/>
              </w:rPr>
              <w:t>27,755,397</w:t>
            </w:r>
          </w:p>
        </w:tc>
      </w:tr>
      <w:tr w:rsidR="00460380" w:rsidRPr="00C737CE" w:rsidTr="00F0005A">
        <w:trPr>
          <w:trHeight w:val="315"/>
        </w:trPr>
        <w:tc>
          <w:tcPr>
            <w:tcW w:w="1980" w:type="dxa"/>
            <w:tcBorders>
              <w:top w:val="nil"/>
              <w:left w:val="nil"/>
              <w:bottom w:val="nil"/>
              <w:right w:val="nil"/>
            </w:tcBorders>
            <w:shd w:val="clear" w:color="auto" w:fill="auto"/>
            <w:noWrap/>
            <w:vAlign w:val="bottom"/>
            <w:hideMark/>
          </w:tcPr>
          <w:p w:rsidR="00460380" w:rsidRPr="00C737CE" w:rsidRDefault="00460380" w:rsidP="006577CC">
            <w:pPr>
              <w:rPr>
                <w:rFonts w:asciiTheme="minorHAnsi" w:eastAsia="Times New Roman" w:hAnsiTheme="minorHAnsi"/>
                <w:b/>
                <w:bCs/>
                <w:color w:val="000000"/>
              </w:rPr>
            </w:pPr>
          </w:p>
        </w:tc>
        <w:tc>
          <w:tcPr>
            <w:tcW w:w="1440" w:type="dxa"/>
            <w:tcBorders>
              <w:top w:val="nil"/>
              <w:left w:val="nil"/>
              <w:bottom w:val="nil"/>
              <w:right w:val="nil"/>
            </w:tcBorders>
            <w:shd w:val="clear" w:color="auto" w:fill="auto"/>
            <w:noWrap/>
            <w:vAlign w:val="bottom"/>
            <w:hideMark/>
          </w:tcPr>
          <w:p w:rsidR="00460380" w:rsidRPr="00C737CE" w:rsidRDefault="00460380" w:rsidP="006577CC">
            <w:pPr>
              <w:jc w:val="right"/>
              <w:rPr>
                <w:rFonts w:asciiTheme="minorHAnsi" w:eastAsia="Times New Roman" w:hAnsiTheme="minorHAnsi"/>
                <w:color w:val="000000"/>
              </w:rPr>
            </w:pPr>
          </w:p>
        </w:tc>
        <w:tc>
          <w:tcPr>
            <w:tcW w:w="1530" w:type="dxa"/>
            <w:tcBorders>
              <w:top w:val="nil"/>
              <w:left w:val="nil"/>
              <w:bottom w:val="nil"/>
              <w:right w:val="nil"/>
            </w:tcBorders>
            <w:shd w:val="clear" w:color="auto" w:fill="auto"/>
            <w:noWrap/>
            <w:vAlign w:val="bottom"/>
            <w:hideMark/>
          </w:tcPr>
          <w:p w:rsidR="00460380" w:rsidRPr="00C737CE" w:rsidRDefault="00460380" w:rsidP="006577CC">
            <w:pPr>
              <w:jc w:val="right"/>
              <w:rPr>
                <w:rFonts w:asciiTheme="minorHAnsi" w:eastAsia="Times New Roman" w:hAnsiTheme="minorHAnsi"/>
                <w:color w:val="000000"/>
              </w:rPr>
            </w:pPr>
          </w:p>
        </w:tc>
        <w:tc>
          <w:tcPr>
            <w:tcW w:w="1639" w:type="dxa"/>
            <w:tcBorders>
              <w:top w:val="nil"/>
              <w:left w:val="nil"/>
              <w:bottom w:val="nil"/>
              <w:right w:val="nil"/>
            </w:tcBorders>
            <w:shd w:val="clear" w:color="auto" w:fill="auto"/>
            <w:noWrap/>
            <w:vAlign w:val="bottom"/>
            <w:hideMark/>
          </w:tcPr>
          <w:p w:rsidR="00460380" w:rsidRPr="00C737CE" w:rsidRDefault="00460380" w:rsidP="006577CC">
            <w:pPr>
              <w:jc w:val="right"/>
              <w:rPr>
                <w:rFonts w:asciiTheme="minorHAnsi" w:eastAsia="Times New Roman" w:hAnsiTheme="minorHAnsi"/>
                <w:color w:val="000000"/>
              </w:rPr>
            </w:pPr>
          </w:p>
        </w:tc>
      </w:tr>
      <w:tr w:rsidR="00460380" w:rsidRPr="00C737CE" w:rsidTr="00F0005A">
        <w:trPr>
          <w:trHeight w:val="315"/>
        </w:trPr>
        <w:tc>
          <w:tcPr>
            <w:tcW w:w="1980" w:type="dxa"/>
            <w:tcBorders>
              <w:top w:val="nil"/>
              <w:left w:val="nil"/>
              <w:bottom w:val="nil"/>
              <w:right w:val="nil"/>
            </w:tcBorders>
            <w:shd w:val="clear" w:color="auto" w:fill="auto"/>
            <w:noWrap/>
            <w:vAlign w:val="bottom"/>
            <w:hideMark/>
          </w:tcPr>
          <w:p w:rsidR="00460380" w:rsidRPr="00C737CE" w:rsidRDefault="00460380" w:rsidP="006577CC">
            <w:pPr>
              <w:rPr>
                <w:rFonts w:asciiTheme="minorHAnsi" w:eastAsia="Times New Roman" w:hAnsiTheme="minorHAnsi"/>
                <w:b/>
                <w:bCs/>
                <w:color w:val="000000"/>
              </w:rPr>
            </w:pPr>
            <w:r w:rsidRPr="00C737CE">
              <w:rPr>
                <w:rFonts w:asciiTheme="minorHAnsi" w:eastAsia="Times New Roman" w:hAnsiTheme="minorHAnsi"/>
                <w:b/>
                <w:bCs/>
                <w:color w:val="000000"/>
                <w:sz w:val="22"/>
                <w:szCs w:val="22"/>
              </w:rPr>
              <w:t>Deaths</w:t>
            </w:r>
          </w:p>
        </w:tc>
        <w:tc>
          <w:tcPr>
            <w:tcW w:w="1440" w:type="dxa"/>
            <w:tcBorders>
              <w:top w:val="nil"/>
              <w:left w:val="nil"/>
              <w:bottom w:val="nil"/>
              <w:right w:val="nil"/>
            </w:tcBorders>
            <w:shd w:val="clear" w:color="auto" w:fill="auto"/>
            <w:noWrap/>
            <w:vAlign w:val="bottom"/>
            <w:hideMark/>
          </w:tcPr>
          <w:p w:rsidR="00460380" w:rsidRPr="00C737CE" w:rsidRDefault="00460380" w:rsidP="006577CC">
            <w:pPr>
              <w:rPr>
                <w:rFonts w:asciiTheme="minorHAnsi" w:eastAsia="Times New Roman" w:hAnsiTheme="minorHAnsi"/>
                <w:color w:val="000000"/>
              </w:rPr>
            </w:pPr>
          </w:p>
        </w:tc>
        <w:tc>
          <w:tcPr>
            <w:tcW w:w="1530" w:type="dxa"/>
            <w:tcBorders>
              <w:top w:val="nil"/>
              <w:left w:val="nil"/>
              <w:bottom w:val="nil"/>
              <w:right w:val="nil"/>
            </w:tcBorders>
            <w:shd w:val="clear" w:color="auto" w:fill="auto"/>
            <w:noWrap/>
            <w:vAlign w:val="bottom"/>
            <w:hideMark/>
          </w:tcPr>
          <w:p w:rsidR="00460380" w:rsidRPr="00C737CE" w:rsidRDefault="00460380" w:rsidP="006577CC">
            <w:pPr>
              <w:rPr>
                <w:rFonts w:asciiTheme="minorHAnsi" w:eastAsia="Times New Roman" w:hAnsiTheme="minorHAnsi"/>
                <w:color w:val="000000"/>
              </w:rPr>
            </w:pPr>
          </w:p>
        </w:tc>
        <w:tc>
          <w:tcPr>
            <w:tcW w:w="1639" w:type="dxa"/>
            <w:tcBorders>
              <w:top w:val="nil"/>
              <w:left w:val="nil"/>
              <w:bottom w:val="nil"/>
              <w:right w:val="nil"/>
            </w:tcBorders>
            <w:shd w:val="clear" w:color="auto" w:fill="auto"/>
            <w:noWrap/>
            <w:vAlign w:val="bottom"/>
            <w:hideMark/>
          </w:tcPr>
          <w:p w:rsidR="00460380" w:rsidRPr="00C737CE" w:rsidRDefault="00460380" w:rsidP="006577CC">
            <w:pPr>
              <w:rPr>
                <w:rFonts w:asciiTheme="minorHAnsi" w:eastAsia="Times New Roman" w:hAnsiTheme="minorHAnsi"/>
                <w:color w:val="000000"/>
              </w:rPr>
            </w:pP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0</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566,983</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521,917</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1,088,900</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1-4</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155,321</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181,257</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336,720</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5-9</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55,323</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55,262</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110,598</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10-14</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53,105</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51,470</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104,585</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15-19</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77,641</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77,833</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155,492</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20-24</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115,343</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100,566</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215,915</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25-29</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137,354</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97,522</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234,851</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30-34</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161,585</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94,635</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256,161</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35-39</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194,597</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101,389</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295,898</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40-44</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229,007</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117,242</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346,143</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45-49</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275,785</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147,279</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422,944</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50-54</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340,678</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193,273</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533,819</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55-59</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420,621</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271,122</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691,628</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60-64</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494,210</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372,306</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866,457</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65-69</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540,328</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458,241</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998,578</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70-74</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553,783</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514,207</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1,068,063</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75-79</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500,472</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502,762</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1,003,355</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80-84</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375,260</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402,473</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i/>
                <w:iCs/>
                <w:color w:val="000000"/>
              </w:rPr>
            </w:pPr>
            <w:r w:rsidRPr="00C737CE">
              <w:rPr>
                <w:rFonts w:asciiTheme="minorHAnsi" w:hAnsiTheme="minorHAnsi"/>
                <w:i/>
                <w:iCs/>
                <w:color w:val="000000"/>
                <w:sz w:val="22"/>
                <w:szCs w:val="22"/>
              </w:rPr>
              <w:t>777,860</w:t>
            </w:r>
          </w:p>
        </w:tc>
      </w:tr>
      <w:tr w:rsidR="002F290D" w:rsidRPr="00C737CE" w:rsidTr="00F0005A">
        <w:trPr>
          <w:trHeight w:val="315"/>
        </w:trPr>
        <w:tc>
          <w:tcPr>
            <w:tcW w:w="1980" w:type="dxa"/>
            <w:tcBorders>
              <w:top w:val="nil"/>
              <w:left w:val="nil"/>
              <w:bottom w:val="nil"/>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color w:val="000000"/>
              </w:rPr>
            </w:pPr>
            <w:r w:rsidRPr="00C737CE">
              <w:rPr>
                <w:rFonts w:asciiTheme="minorHAnsi" w:eastAsia="Times New Roman" w:hAnsiTheme="minorHAnsi"/>
                <w:color w:val="000000"/>
                <w:sz w:val="22"/>
                <w:szCs w:val="22"/>
              </w:rPr>
              <w:t>85+</w:t>
            </w:r>
          </w:p>
        </w:tc>
        <w:tc>
          <w:tcPr>
            <w:tcW w:w="144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color w:val="000000"/>
              </w:rPr>
            </w:pPr>
            <w:r w:rsidRPr="00C737CE">
              <w:rPr>
                <w:rFonts w:asciiTheme="minorHAnsi" w:hAnsiTheme="minorHAnsi"/>
                <w:color w:val="000000"/>
                <w:sz w:val="22"/>
                <w:szCs w:val="22"/>
              </w:rPr>
              <w:t>344,006</w:t>
            </w:r>
          </w:p>
        </w:tc>
        <w:tc>
          <w:tcPr>
            <w:tcW w:w="1530"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color w:val="000000"/>
              </w:rPr>
            </w:pPr>
            <w:r w:rsidRPr="00C737CE">
              <w:rPr>
                <w:rFonts w:asciiTheme="minorHAnsi" w:hAnsiTheme="minorHAnsi"/>
                <w:color w:val="000000"/>
                <w:sz w:val="22"/>
                <w:szCs w:val="22"/>
              </w:rPr>
              <w:t>419,349</w:t>
            </w:r>
          </w:p>
        </w:tc>
        <w:tc>
          <w:tcPr>
            <w:tcW w:w="1639" w:type="dxa"/>
            <w:tcBorders>
              <w:top w:val="nil"/>
              <w:left w:val="nil"/>
              <w:bottom w:val="nil"/>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color w:val="000000"/>
              </w:rPr>
            </w:pPr>
            <w:r w:rsidRPr="00C737CE">
              <w:rPr>
                <w:rFonts w:asciiTheme="minorHAnsi" w:hAnsiTheme="minorHAnsi"/>
                <w:color w:val="000000"/>
                <w:sz w:val="22"/>
                <w:szCs w:val="22"/>
              </w:rPr>
              <w:t>763,544</w:t>
            </w:r>
          </w:p>
        </w:tc>
      </w:tr>
      <w:tr w:rsidR="002F290D" w:rsidRPr="00C737CE" w:rsidTr="00F0005A">
        <w:trPr>
          <w:trHeight w:val="315"/>
        </w:trPr>
        <w:tc>
          <w:tcPr>
            <w:tcW w:w="1980" w:type="dxa"/>
            <w:tcBorders>
              <w:top w:val="nil"/>
              <w:left w:val="nil"/>
              <w:bottom w:val="single" w:sz="4" w:space="0" w:color="auto"/>
              <w:right w:val="nil"/>
            </w:tcBorders>
            <w:shd w:val="clear" w:color="auto" w:fill="auto"/>
            <w:noWrap/>
            <w:vAlign w:val="bottom"/>
            <w:hideMark/>
          </w:tcPr>
          <w:p w:rsidR="002F290D" w:rsidRPr="00C737CE" w:rsidRDefault="002F290D" w:rsidP="006577CC">
            <w:pPr>
              <w:jc w:val="right"/>
              <w:rPr>
                <w:rFonts w:asciiTheme="minorHAnsi" w:eastAsia="Times New Roman" w:hAnsiTheme="minorHAnsi"/>
                <w:b/>
                <w:color w:val="000000"/>
              </w:rPr>
            </w:pPr>
            <w:r w:rsidRPr="00C737CE">
              <w:rPr>
                <w:rFonts w:asciiTheme="minorHAnsi" w:eastAsia="Times New Roman" w:hAnsiTheme="minorHAnsi"/>
                <w:b/>
                <w:color w:val="000000"/>
                <w:sz w:val="22"/>
                <w:szCs w:val="22"/>
              </w:rPr>
              <w:t>All Ages</w:t>
            </w:r>
          </w:p>
        </w:tc>
        <w:tc>
          <w:tcPr>
            <w:tcW w:w="1440" w:type="dxa"/>
            <w:tcBorders>
              <w:top w:val="nil"/>
              <w:left w:val="nil"/>
              <w:bottom w:val="single" w:sz="4" w:space="0" w:color="auto"/>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b/>
                <w:iCs/>
                <w:color w:val="000000"/>
              </w:rPr>
            </w:pPr>
            <w:r w:rsidRPr="00C737CE">
              <w:rPr>
                <w:rFonts w:asciiTheme="minorHAnsi" w:hAnsiTheme="minorHAnsi"/>
                <w:b/>
                <w:bCs/>
                <w:color w:val="000000"/>
                <w:sz w:val="22"/>
                <w:szCs w:val="22"/>
              </w:rPr>
              <w:t>5,591,404</w:t>
            </w:r>
          </w:p>
        </w:tc>
        <w:tc>
          <w:tcPr>
            <w:tcW w:w="1530" w:type="dxa"/>
            <w:tcBorders>
              <w:top w:val="nil"/>
              <w:left w:val="nil"/>
              <w:bottom w:val="single" w:sz="4" w:space="0" w:color="auto"/>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b/>
                <w:iCs/>
                <w:color w:val="000000"/>
              </w:rPr>
            </w:pPr>
            <w:r w:rsidRPr="00C737CE">
              <w:rPr>
                <w:rFonts w:asciiTheme="minorHAnsi" w:hAnsiTheme="minorHAnsi"/>
                <w:b/>
                <w:bCs/>
                <w:color w:val="000000"/>
                <w:sz w:val="22"/>
                <w:szCs w:val="22"/>
              </w:rPr>
              <w:t>4,680,106</w:t>
            </w:r>
          </w:p>
        </w:tc>
        <w:tc>
          <w:tcPr>
            <w:tcW w:w="1639" w:type="dxa"/>
            <w:tcBorders>
              <w:top w:val="nil"/>
              <w:left w:val="nil"/>
              <w:bottom w:val="single" w:sz="4" w:space="0" w:color="auto"/>
              <w:right w:val="nil"/>
            </w:tcBorders>
            <w:shd w:val="clear" w:color="auto" w:fill="auto"/>
            <w:noWrap/>
            <w:vAlign w:val="center"/>
            <w:hideMark/>
          </w:tcPr>
          <w:p w:rsidR="002F290D" w:rsidRPr="00C737CE" w:rsidRDefault="002F290D" w:rsidP="006577CC">
            <w:pPr>
              <w:jc w:val="right"/>
              <w:rPr>
                <w:rFonts w:asciiTheme="minorHAnsi" w:eastAsia="Times New Roman" w:hAnsiTheme="minorHAnsi"/>
                <w:b/>
                <w:iCs/>
                <w:color w:val="000000"/>
              </w:rPr>
            </w:pPr>
            <w:r w:rsidRPr="00C737CE">
              <w:rPr>
                <w:rFonts w:asciiTheme="minorHAnsi" w:hAnsiTheme="minorHAnsi"/>
                <w:b/>
                <w:bCs/>
                <w:color w:val="000000"/>
                <w:sz w:val="22"/>
                <w:szCs w:val="22"/>
              </w:rPr>
              <w:t>10,271,509</w:t>
            </w:r>
          </w:p>
        </w:tc>
      </w:tr>
    </w:tbl>
    <w:p w:rsidR="00460380" w:rsidRPr="00C737CE" w:rsidRDefault="00460380" w:rsidP="00460380">
      <w:pPr>
        <w:rPr>
          <w:rFonts w:asciiTheme="minorHAnsi" w:hAnsiTheme="minorHAnsi" w:cs="Calibri"/>
          <w:b/>
          <w:sz w:val="22"/>
          <w:szCs w:val="22"/>
          <w:u w:val="single"/>
        </w:rPr>
      </w:pPr>
    </w:p>
    <w:p w:rsidR="00460380" w:rsidRPr="0019326C" w:rsidRDefault="00460380" w:rsidP="00460380">
      <w:pPr>
        <w:rPr>
          <w:rFonts w:asciiTheme="minorHAnsi" w:hAnsiTheme="minorHAnsi" w:cs="Calibri"/>
          <w:b/>
          <w:u w:val="single"/>
        </w:rPr>
      </w:pPr>
      <w:r w:rsidRPr="00DA4AF6">
        <w:rPr>
          <w:rFonts w:asciiTheme="minorHAnsi" w:hAnsiTheme="minorHAnsi" w:cs="Calibri"/>
          <w:b/>
          <w:u w:val="single"/>
        </w:rPr>
        <w:t>State Death Envelopes:</w:t>
      </w:r>
    </w:p>
    <w:p w:rsidR="00460380" w:rsidRPr="00C737CE" w:rsidRDefault="00460380" w:rsidP="00460380">
      <w:pPr>
        <w:pStyle w:val="ListParagraph"/>
        <w:numPr>
          <w:ilvl w:val="0"/>
          <w:numId w:val="1"/>
        </w:numPr>
        <w:rPr>
          <w:rFonts w:asciiTheme="minorHAnsi" w:hAnsiTheme="minorHAnsi" w:cs="Calibri"/>
          <w:sz w:val="22"/>
          <w:szCs w:val="22"/>
        </w:rPr>
      </w:pPr>
      <w:r w:rsidRPr="00C737CE">
        <w:rPr>
          <w:rFonts w:asciiTheme="minorHAnsi" w:hAnsiTheme="minorHAnsi" w:cs="Calibri"/>
          <w:sz w:val="22"/>
          <w:szCs w:val="22"/>
        </w:rPr>
        <w:t>For the 20 larger states and for India nationally, the age-specific death rates (ASDR) for males and females were averaged from the SRS for the years 201</w:t>
      </w:r>
      <w:r w:rsidR="00662E1E" w:rsidRPr="00C737CE">
        <w:rPr>
          <w:rFonts w:asciiTheme="minorHAnsi" w:hAnsiTheme="minorHAnsi" w:cs="Calibri"/>
          <w:sz w:val="22"/>
          <w:szCs w:val="22"/>
        </w:rPr>
        <w:t>1</w:t>
      </w:r>
      <w:r w:rsidRPr="00C737CE">
        <w:rPr>
          <w:rFonts w:asciiTheme="minorHAnsi" w:hAnsiTheme="minorHAnsi" w:cs="Calibri"/>
          <w:sz w:val="22"/>
          <w:szCs w:val="22"/>
        </w:rPr>
        <w:t>, 201</w:t>
      </w:r>
      <w:r w:rsidR="00662E1E" w:rsidRPr="00C737CE">
        <w:rPr>
          <w:rFonts w:asciiTheme="minorHAnsi" w:hAnsiTheme="minorHAnsi" w:cs="Calibri"/>
          <w:sz w:val="22"/>
          <w:szCs w:val="22"/>
        </w:rPr>
        <w:t>2</w:t>
      </w:r>
      <w:r w:rsidRPr="00C737CE">
        <w:rPr>
          <w:rFonts w:asciiTheme="minorHAnsi" w:hAnsiTheme="minorHAnsi" w:cs="Calibri"/>
          <w:sz w:val="22"/>
          <w:szCs w:val="22"/>
        </w:rPr>
        <w:t xml:space="preserve"> and 201</w:t>
      </w:r>
      <w:r w:rsidR="00662E1E" w:rsidRPr="00C737CE">
        <w:rPr>
          <w:rFonts w:asciiTheme="minorHAnsi" w:hAnsiTheme="minorHAnsi" w:cs="Calibri"/>
          <w:sz w:val="22"/>
          <w:szCs w:val="22"/>
        </w:rPr>
        <w:t>3</w:t>
      </w:r>
      <w:r w:rsidRPr="00C737CE">
        <w:rPr>
          <w:rFonts w:asciiTheme="minorHAnsi" w:hAnsiTheme="minorHAnsi" w:cs="Calibri"/>
          <w:sz w:val="22"/>
          <w:szCs w:val="22"/>
        </w:rPr>
        <w:t xml:space="preserve"> (Source: Registrar General of India. Sample registration system statistical report </w:t>
      </w:r>
      <w:r w:rsidR="00662E1E" w:rsidRPr="00C737CE">
        <w:rPr>
          <w:rFonts w:asciiTheme="minorHAnsi" w:hAnsiTheme="minorHAnsi" w:cs="Calibri"/>
          <w:sz w:val="22"/>
          <w:szCs w:val="22"/>
        </w:rPr>
        <w:t>201</w:t>
      </w:r>
      <w:r w:rsidR="00464763" w:rsidRPr="00C737CE">
        <w:rPr>
          <w:rFonts w:asciiTheme="minorHAnsi" w:hAnsiTheme="minorHAnsi" w:cs="Calibri"/>
          <w:sz w:val="22"/>
          <w:szCs w:val="22"/>
        </w:rPr>
        <w:t>1</w:t>
      </w:r>
      <w:r w:rsidR="00662E1E" w:rsidRPr="00C737CE">
        <w:rPr>
          <w:rFonts w:asciiTheme="minorHAnsi" w:hAnsiTheme="minorHAnsi" w:cs="Calibri"/>
          <w:sz w:val="22"/>
          <w:szCs w:val="22"/>
        </w:rPr>
        <w:t>, 2012 and 2013</w:t>
      </w:r>
      <w:r w:rsidRPr="00C737CE">
        <w:rPr>
          <w:rFonts w:asciiTheme="minorHAnsi" w:hAnsiTheme="minorHAnsi" w:cs="Calibri"/>
          <w:sz w:val="22"/>
          <w:szCs w:val="22"/>
        </w:rPr>
        <w:t>. New Delhi: Government of India, 201</w:t>
      </w:r>
      <w:r w:rsidR="00662E1E" w:rsidRPr="00C737CE">
        <w:rPr>
          <w:rFonts w:asciiTheme="minorHAnsi" w:hAnsiTheme="minorHAnsi" w:cs="Calibri"/>
          <w:sz w:val="22"/>
          <w:szCs w:val="22"/>
        </w:rPr>
        <w:t>4</w:t>
      </w:r>
      <w:r w:rsidRPr="00C737CE">
        <w:rPr>
          <w:rFonts w:asciiTheme="minorHAnsi" w:hAnsiTheme="minorHAnsi" w:cs="Calibri"/>
          <w:sz w:val="22"/>
          <w:szCs w:val="22"/>
        </w:rPr>
        <w:t>; Table – 8 in each). We excluded observations where the rates were 0.0.</w:t>
      </w:r>
    </w:p>
    <w:p w:rsidR="00460380" w:rsidRPr="00C737CE" w:rsidRDefault="00460380" w:rsidP="00460380">
      <w:pPr>
        <w:pStyle w:val="ListParagraph"/>
        <w:numPr>
          <w:ilvl w:val="0"/>
          <w:numId w:val="1"/>
        </w:numPr>
        <w:rPr>
          <w:rFonts w:asciiTheme="minorHAnsi" w:hAnsiTheme="minorHAnsi" w:cs="Calibri"/>
          <w:sz w:val="22"/>
          <w:szCs w:val="22"/>
        </w:rPr>
      </w:pPr>
      <w:r w:rsidRPr="00C737CE">
        <w:rPr>
          <w:rFonts w:asciiTheme="minorHAnsi" w:hAnsiTheme="minorHAnsi" w:cs="Calibri"/>
          <w:sz w:val="22"/>
          <w:szCs w:val="22"/>
        </w:rPr>
        <w:t>The ASDR for Uttarakhand state were available for the year 2010 only.</w:t>
      </w:r>
    </w:p>
    <w:p w:rsidR="00460380" w:rsidRPr="00C737CE" w:rsidRDefault="00460380" w:rsidP="00460380">
      <w:pPr>
        <w:pStyle w:val="ListParagraph"/>
        <w:numPr>
          <w:ilvl w:val="0"/>
          <w:numId w:val="1"/>
        </w:numPr>
        <w:rPr>
          <w:rFonts w:asciiTheme="minorHAnsi" w:hAnsiTheme="minorHAnsi" w:cs="Calibri"/>
          <w:sz w:val="22"/>
          <w:szCs w:val="22"/>
        </w:rPr>
      </w:pPr>
      <w:r w:rsidRPr="00C737CE">
        <w:rPr>
          <w:rFonts w:asciiTheme="minorHAnsi" w:hAnsiTheme="minorHAnsi" w:cs="Calibri"/>
          <w:sz w:val="22"/>
          <w:szCs w:val="22"/>
        </w:rPr>
        <w:lastRenderedPageBreak/>
        <w:t xml:space="preserve">For the remaining 14 smaller states and union territories (Chandigarh, Sikkim, Arunachal Pradesh, Nagaland, Manipur, Mizoram, Tripura, Meghalaya, Daman and Diu, Dadra Nagar and Haveli, Goa, Lakshadweep, Pondicherry and Andaman and Nicobar Islands), the ASDR rates were available only up to 2006 and for the year 2010. </w:t>
      </w:r>
    </w:p>
    <w:p w:rsidR="00460380" w:rsidRPr="00C737CE" w:rsidRDefault="00460380" w:rsidP="00460380">
      <w:pPr>
        <w:pStyle w:val="ListParagraph"/>
        <w:numPr>
          <w:ilvl w:val="0"/>
          <w:numId w:val="1"/>
        </w:numPr>
        <w:rPr>
          <w:rFonts w:asciiTheme="minorHAnsi" w:hAnsiTheme="minorHAnsi" w:cs="Calibri"/>
          <w:sz w:val="22"/>
          <w:szCs w:val="22"/>
        </w:rPr>
      </w:pPr>
      <w:r w:rsidRPr="00C737CE">
        <w:rPr>
          <w:rFonts w:asciiTheme="minorHAnsi" w:hAnsiTheme="minorHAnsi" w:cs="Calibri"/>
          <w:sz w:val="22"/>
          <w:szCs w:val="22"/>
        </w:rPr>
        <w:t>For Lakshadweep, the average ASDR for females at ages 15-19 was zero for all the years and thus we replaced it with the average of Kerala for both sexes.</w:t>
      </w:r>
    </w:p>
    <w:p w:rsidR="00460380" w:rsidRPr="00C737CE" w:rsidRDefault="00460380" w:rsidP="00460380">
      <w:pPr>
        <w:rPr>
          <w:rFonts w:asciiTheme="minorHAnsi" w:hAnsiTheme="minorHAnsi"/>
          <w:sz w:val="22"/>
          <w:szCs w:val="22"/>
        </w:rPr>
      </w:pPr>
    </w:p>
    <w:p w:rsidR="00460380" w:rsidRPr="003C5EDF" w:rsidRDefault="00460380" w:rsidP="00460380">
      <w:pPr>
        <w:rPr>
          <w:rFonts w:asciiTheme="minorHAnsi" w:hAnsiTheme="minorHAnsi"/>
          <w:b/>
          <w:color w:val="000000" w:themeColor="text1"/>
          <w:u w:val="single"/>
        </w:rPr>
      </w:pPr>
      <w:r w:rsidRPr="003C5EDF">
        <w:rPr>
          <w:rFonts w:asciiTheme="minorHAnsi" w:hAnsiTheme="minorHAnsi"/>
          <w:b/>
          <w:color w:val="000000" w:themeColor="text1"/>
          <w:u w:val="single"/>
        </w:rPr>
        <w:t xml:space="preserve">Determinants of child and adult mortality </w:t>
      </w:r>
    </w:p>
    <w:p w:rsidR="00460380" w:rsidRPr="003C5EDF" w:rsidRDefault="00460380" w:rsidP="00460380">
      <w:pPr>
        <w:rPr>
          <w:rFonts w:asciiTheme="minorHAnsi" w:hAnsiTheme="minorHAnsi"/>
          <w:color w:val="000000" w:themeColor="text1"/>
        </w:rPr>
      </w:pPr>
    </w:p>
    <w:p w:rsidR="00460380" w:rsidRPr="0079632A" w:rsidRDefault="00460380" w:rsidP="00460380">
      <w:pPr>
        <w:rPr>
          <w:rFonts w:asciiTheme="minorHAnsi" w:hAnsiTheme="minorHAnsi"/>
          <w:color w:val="000000" w:themeColor="text1"/>
          <w:sz w:val="22"/>
          <w:szCs w:val="22"/>
        </w:rPr>
      </w:pPr>
      <w:proofErr w:type="gramStart"/>
      <w:r w:rsidRPr="00C737CE">
        <w:rPr>
          <w:rFonts w:asciiTheme="minorHAnsi" w:hAnsiTheme="minorHAnsi"/>
          <w:color w:val="000000" w:themeColor="text1"/>
          <w:sz w:val="22"/>
          <w:szCs w:val="22"/>
        </w:rPr>
        <w:t>An initial list of 47 public health, geographic and demographic variables were</w:t>
      </w:r>
      <w:proofErr w:type="gramEnd"/>
      <w:r w:rsidRPr="00C737CE">
        <w:rPr>
          <w:rFonts w:asciiTheme="minorHAnsi" w:hAnsiTheme="minorHAnsi"/>
          <w:color w:val="000000" w:themeColor="text1"/>
          <w:sz w:val="22"/>
          <w:szCs w:val="22"/>
        </w:rPr>
        <w:t xml:space="preserve"> collected from various sources for 597 districts in India (Web table 2 for the complete description of the variables, sources and percentage of missing entries). Of the 47 variables, 22 were used for further analyses – a greater number was compiled to assist with missing data analyses. While only 5.2% of the complete 47 variable dataset was missing, a list wise deletion of missing data for the 22 final variable dataset would result in the excessive exclusion of 362 districts from analysis. Multiple imputations for all 47 variables of the larger dataset were therefore conducted using AMELIA II – Version 1.7.2 </w:t>
      </w:r>
      <w:r w:rsidR="008D3F20" w:rsidRPr="00C737CE">
        <w:rPr>
          <w:rFonts w:asciiTheme="minorHAnsi" w:hAnsiTheme="minorHAnsi"/>
          <w:color w:val="000000" w:themeColor="text1"/>
          <w:sz w:val="22"/>
          <w:szCs w:val="22"/>
          <w:vertAlign w:val="superscript"/>
        </w:rPr>
        <w:t>1</w:t>
      </w:r>
      <w:r w:rsidR="003C5EDF" w:rsidRPr="00C737CE">
        <w:rPr>
          <w:rFonts w:asciiTheme="minorHAnsi" w:hAnsiTheme="minorHAnsi"/>
          <w:color w:val="000000" w:themeColor="text1"/>
          <w:sz w:val="22"/>
          <w:szCs w:val="22"/>
        </w:rPr>
        <w:t xml:space="preserve">. </w:t>
      </w:r>
      <w:r w:rsidRPr="00C737CE">
        <w:rPr>
          <w:rFonts w:asciiTheme="minorHAnsi" w:hAnsiTheme="minorHAnsi"/>
          <w:color w:val="000000" w:themeColor="text1"/>
          <w:sz w:val="22"/>
          <w:szCs w:val="22"/>
        </w:rPr>
        <w:t xml:space="preserve"> </w:t>
      </w:r>
      <w:r w:rsidR="003C5EDF" w:rsidRPr="00C737CE">
        <w:rPr>
          <w:rFonts w:asciiTheme="minorHAnsi" w:hAnsiTheme="minorHAnsi"/>
          <w:color w:val="000000" w:themeColor="text1"/>
          <w:sz w:val="22"/>
          <w:szCs w:val="22"/>
        </w:rPr>
        <w:t>R statistical software (www.r-project.org</w:t>
      </w:r>
      <w:r w:rsidR="003C5EDF" w:rsidRPr="0079632A">
        <w:rPr>
          <w:rFonts w:asciiTheme="minorHAnsi" w:hAnsiTheme="minorHAnsi"/>
          <w:color w:val="000000" w:themeColor="text1"/>
          <w:sz w:val="22"/>
          <w:szCs w:val="22"/>
        </w:rPr>
        <w:t>)</w:t>
      </w:r>
      <w:r w:rsidR="003C5EDF" w:rsidRPr="0079632A">
        <w:rPr>
          <w:rFonts w:asciiTheme="minorHAnsi" w:hAnsiTheme="minorHAnsi"/>
          <w:bCs/>
          <w:color w:val="000000" w:themeColor="text1"/>
          <w:sz w:val="22"/>
          <w:szCs w:val="22"/>
        </w:rPr>
        <w:t xml:space="preserve"> was used for the logistic regression analysis with the lme4 package </w:t>
      </w:r>
      <w:r w:rsidR="008D3F20" w:rsidRPr="0079632A">
        <w:rPr>
          <w:rFonts w:asciiTheme="minorHAnsi" w:hAnsiTheme="minorHAnsi"/>
          <w:bCs/>
          <w:color w:val="000000" w:themeColor="text1"/>
          <w:sz w:val="22"/>
          <w:szCs w:val="22"/>
          <w:vertAlign w:val="superscript"/>
        </w:rPr>
        <w:t>2</w:t>
      </w:r>
      <w:r w:rsidR="003C5EDF" w:rsidRPr="0079632A">
        <w:rPr>
          <w:rFonts w:asciiTheme="minorHAnsi" w:hAnsiTheme="minorHAnsi"/>
          <w:bCs/>
          <w:color w:val="000000" w:themeColor="text1"/>
          <w:sz w:val="22"/>
          <w:szCs w:val="22"/>
        </w:rPr>
        <w:t xml:space="preserve">. The models were fit by maximum likelihood (Laplace Approximation) and the betas were converted to odds ratios via an exponential function. </w:t>
      </w:r>
      <w:r w:rsidRPr="0079632A">
        <w:rPr>
          <w:rFonts w:asciiTheme="minorHAnsi" w:hAnsiTheme="minorHAnsi"/>
          <w:color w:val="000000" w:themeColor="text1"/>
          <w:sz w:val="22"/>
          <w:szCs w:val="22"/>
        </w:rPr>
        <w:t xml:space="preserve">The average of five imputed datasets was used for further analyses. Descriptive statistics for all of the study variables and imputed values are found in Web table </w:t>
      </w:r>
      <w:r w:rsidR="00EA2CE2" w:rsidRPr="0079632A">
        <w:rPr>
          <w:rFonts w:asciiTheme="minorHAnsi" w:hAnsiTheme="minorHAnsi"/>
          <w:color w:val="000000" w:themeColor="text1"/>
          <w:sz w:val="22"/>
          <w:szCs w:val="22"/>
        </w:rPr>
        <w:t>2</w:t>
      </w:r>
      <w:r w:rsidRPr="0079632A">
        <w:rPr>
          <w:rFonts w:asciiTheme="minorHAnsi" w:hAnsiTheme="minorHAnsi"/>
          <w:color w:val="000000" w:themeColor="text1"/>
          <w:sz w:val="22"/>
          <w:szCs w:val="22"/>
        </w:rPr>
        <w:t>; the imputed means and standard deviations for all of the variables were within the expected range of the initial dataset.</w:t>
      </w:r>
    </w:p>
    <w:p w:rsidR="00460380" w:rsidRPr="0079632A" w:rsidRDefault="00460380" w:rsidP="00460380">
      <w:pPr>
        <w:rPr>
          <w:rFonts w:asciiTheme="minorHAnsi" w:hAnsiTheme="minorHAnsi"/>
          <w:color w:val="000000" w:themeColor="text1"/>
          <w:sz w:val="22"/>
          <w:szCs w:val="22"/>
        </w:rPr>
      </w:pPr>
    </w:p>
    <w:p w:rsidR="00460380" w:rsidRPr="0079632A" w:rsidRDefault="00460380" w:rsidP="00460380">
      <w:pPr>
        <w:rPr>
          <w:rFonts w:asciiTheme="minorHAnsi" w:hAnsiTheme="minorHAnsi"/>
          <w:color w:val="000000" w:themeColor="text1"/>
          <w:sz w:val="22"/>
          <w:szCs w:val="22"/>
        </w:rPr>
      </w:pPr>
      <w:r w:rsidRPr="0079632A">
        <w:rPr>
          <w:rFonts w:asciiTheme="minorHAnsi" w:hAnsiTheme="minorHAnsi"/>
          <w:color w:val="000000" w:themeColor="text1"/>
          <w:sz w:val="22"/>
          <w:szCs w:val="22"/>
        </w:rPr>
        <w:t xml:space="preserve">For the multivariable analysis, a principal component analysis was applied to 17 variables with </w:t>
      </w:r>
      <w:proofErr w:type="spellStart"/>
      <w:r w:rsidRPr="0079632A">
        <w:rPr>
          <w:rFonts w:asciiTheme="minorHAnsi" w:hAnsiTheme="minorHAnsi"/>
          <w:color w:val="000000" w:themeColor="text1"/>
          <w:sz w:val="22"/>
          <w:szCs w:val="22"/>
        </w:rPr>
        <w:t>Varimax</w:t>
      </w:r>
      <w:proofErr w:type="spellEnd"/>
      <w:r w:rsidRPr="0079632A">
        <w:rPr>
          <w:rFonts w:asciiTheme="minorHAnsi" w:hAnsiTheme="minorHAnsi"/>
          <w:color w:val="000000" w:themeColor="text1"/>
          <w:sz w:val="22"/>
          <w:szCs w:val="22"/>
        </w:rPr>
        <w:t xml:space="preserve"> rotation. All KMO values for the individual variables were above 0.5 and the overall MSA was 0.74, indicating the data were sufficient for the analysis. The Bartlett’s test of </w:t>
      </w:r>
      <w:proofErr w:type="spellStart"/>
      <w:r w:rsidRPr="0079632A">
        <w:rPr>
          <w:rFonts w:asciiTheme="minorHAnsi" w:hAnsiTheme="minorHAnsi"/>
          <w:color w:val="000000" w:themeColor="text1"/>
          <w:sz w:val="22"/>
          <w:szCs w:val="22"/>
        </w:rPr>
        <w:t>sphericity</w:t>
      </w:r>
      <w:proofErr w:type="spellEnd"/>
      <w:r w:rsidR="008D3F20" w:rsidRPr="0079632A">
        <w:rPr>
          <w:rFonts w:asciiTheme="minorHAnsi" w:hAnsiTheme="minorHAnsi"/>
          <w:color w:val="000000" w:themeColor="text1"/>
          <w:sz w:val="22"/>
          <w:szCs w:val="22"/>
        </w:rPr>
        <w:t xml:space="preserve"> </w:t>
      </w:r>
      <w:r w:rsidR="008D3F20" w:rsidRPr="0079632A">
        <w:rPr>
          <w:rFonts w:asciiTheme="minorHAnsi" w:hAnsiTheme="minorHAnsi"/>
          <w:color w:val="000000" w:themeColor="text1"/>
          <w:sz w:val="22"/>
          <w:szCs w:val="22"/>
          <w:vertAlign w:val="superscript"/>
        </w:rPr>
        <w:t>3</w:t>
      </w:r>
      <w:r w:rsidRPr="0079632A">
        <w:rPr>
          <w:rFonts w:asciiTheme="minorHAnsi" w:hAnsiTheme="minorHAnsi"/>
          <w:color w:val="000000" w:themeColor="text1"/>
          <w:sz w:val="22"/>
          <w:szCs w:val="22"/>
        </w:rPr>
        <w:t xml:space="preserve"> (</w:t>
      </w:r>
      <w:proofErr w:type="gramStart"/>
      <w:r w:rsidRPr="0079632A">
        <w:rPr>
          <w:rFonts w:asciiTheme="minorHAnsi" w:hAnsiTheme="minorHAnsi"/>
          <w:color w:val="000000" w:themeColor="text1"/>
          <w:sz w:val="22"/>
          <w:szCs w:val="22"/>
        </w:rPr>
        <w:t>χ²(</w:t>
      </w:r>
      <w:proofErr w:type="gramEnd"/>
      <w:r w:rsidRPr="0079632A">
        <w:rPr>
          <w:rFonts w:asciiTheme="minorHAnsi" w:hAnsiTheme="minorHAnsi"/>
          <w:color w:val="000000" w:themeColor="text1"/>
          <w:sz w:val="22"/>
          <w:szCs w:val="22"/>
        </w:rPr>
        <w:t>136)= 9285.866, p&lt;0.001) showed that there were patterned relationships between the items. Three factors were retained that explained a cumulative variance of 5</w:t>
      </w:r>
      <w:r w:rsidR="0078230B" w:rsidRPr="0079632A">
        <w:rPr>
          <w:rFonts w:asciiTheme="minorHAnsi" w:hAnsiTheme="minorHAnsi"/>
          <w:color w:val="000000" w:themeColor="text1"/>
          <w:sz w:val="22"/>
          <w:szCs w:val="22"/>
        </w:rPr>
        <w:t>6</w:t>
      </w:r>
      <w:r w:rsidRPr="0079632A">
        <w:rPr>
          <w:rFonts w:asciiTheme="minorHAnsi" w:hAnsiTheme="minorHAnsi"/>
          <w:color w:val="000000" w:themeColor="text1"/>
          <w:sz w:val="22"/>
          <w:szCs w:val="22"/>
        </w:rPr>
        <w:t>%. Web table 2 shows the factor loading after rotation using a significant factor criterion of 0.35.</w:t>
      </w:r>
    </w:p>
    <w:p w:rsidR="00460380" w:rsidRPr="0079632A" w:rsidRDefault="00460380" w:rsidP="00460380">
      <w:pPr>
        <w:rPr>
          <w:rFonts w:asciiTheme="minorHAnsi" w:hAnsiTheme="minorHAnsi"/>
          <w:color w:val="000000" w:themeColor="text1"/>
          <w:sz w:val="22"/>
          <w:szCs w:val="22"/>
        </w:rPr>
      </w:pPr>
    </w:p>
    <w:p w:rsidR="00460380" w:rsidRPr="0079632A" w:rsidRDefault="00460380" w:rsidP="00460380">
      <w:pPr>
        <w:rPr>
          <w:rFonts w:asciiTheme="minorHAnsi" w:hAnsiTheme="minorHAnsi"/>
          <w:color w:val="000000" w:themeColor="text1"/>
          <w:sz w:val="22"/>
          <w:szCs w:val="22"/>
        </w:rPr>
      </w:pPr>
      <w:r w:rsidRPr="0079632A">
        <w:rPr>
          <w:rFonts w:asciiTheme="minorHAnsi" w:hAnsiTheme="minorHAnsi"/>
          <w:color w:val="000000" w:themeColor="text1"/>
          <w:sz w:val="22"/>
          <w:szCs w:val="22"/>
        </w:rPr>
        <w:t xml:space="preserve">Regressions on the age–standardized mortality rates at ages </w:t>
      </w:r>
      <w:r w:rsidR="0078230B" w:rsidRPr="0079632A">
        <w:rPr>
          <w:rFonts w:asciiTheme="minorHAnsi" w:hAnsiTheme="minorHAnsi"/>
          <w:color w:val="000000" w:themeColor="text1"/>
          <w:sz w:val="22"/>
          <w:szCs w:val="22"/>
        </w:rPr>
        <w:t>15</w:t>
      </w:r>
      <w:r w:rsidRPr="0079632A">
        <w:rPr>
          <w:rFonts w:asciiTheme="minorHAnsi" w:hAnsiTheme="minorHAnsi"/>
          <w:color w:val="000000" w:themeColor="text1"/>
          <w:sz w:val="22"/>
          <w:szCs w:val="22"/>
        </w:rPr>
        <w:t xml:space="preserve">–69 for males and females and for children ages 0-14 were conducted to identify key correlates of mortality. Logistic regressions were used to assist with interpretation by generating odds-ratios and a random intercept model was used to account for state-level variation. </w:t>
      </w:r>
      <w:proofErr w:type="spellStart"/>
      <w:r w:rsidRPr="0079632A">
        <w:rPr>
          <w:rFonts w:asciiTheme="minorHAnsi" w:hAnsiTheme="minorHAnsi"/>
          <w:color w:val="000000" w:themeColor="text1"/>
          <w:sz w:val="22"/>
          <w:szCs w:val="22"/>
        </w:rPr>
        <w:t>Tertiles</w:t>
      </w:r>
      <w:proofErr w:type="spellEnd"/>
      <w:r w:rsidRPr="0079632A">
        <w:rPr>
          <w:rFonts w:asciiTheme="minorHAnsi" w:hAnsiTheme="minorHAnsi"/>
          <w:color w:val="000000" w:themeColor="text1"/>
          <w:sz w:val="22"/>
          <w:szCs w:val="22"/>
        </w:rPr>
        <w:t xml:space="preserve"> were created for the variable water and sanitation, sex ratio (all ages M/F), state language spoken, smoking prevalence in males, and malaria exposure, as well as the three factors for “general public health indicators”, “population density” and “access to primary care units”. </w:t>
      </w:r>
      <w:r w:rsidR="00DF0AB3" w:rsidRPr="0079632A">
        <w:rPr>
          <w:rFonts w:asciiTheme="minorHAnsi" w:hAnsiTheme="minorHAnsi"/>
          <w:bCs/>
          <w:color w:val="000000" w:themeColor="text1"/>
          <w:sz w:val="22"/>
          <w:szCs w:val="22"/>
        </w:rPr>
        <w:t xml:space="preserve">The original explanatory variables were all continuous. For the final logistic regression presented in the Web table 7, page </w:t>
      </w:r>
      <w:r w:rsidR="008E71C1" w:rsidRPr="0079632A">
        <w:rPr>
          <w:rFonts w:asciiTheme="minorHAnsi" w:hAnsiTheme="minorHAnsi"/>
          <w:bCs/>
          <w:color w:val="000000" w:themeColor="text1"/>
          <w:sz w:val="22"/>
          <w:szCs w:val="22"/>
        </w:rPr>
        <w:t>29</w:t>
      </w:r>
      <w:r w:rsidR="00DF0AB3" w:rsidRPr="0079632A">
        <w:rPr>
          <w:rFonts w:asciiTheme="minorHAnsi" w:hAnsiTheme="minorHAnsi"/>
          <w:bCs/>
          <w:color w:val="000000" w:themeColor="text1"/>
          <w:sz w:val="22"/>
          <w:szCs w:val="22"/>
        </w:rPr>
        <w:t xml:space="preserve">, we converted the explanatory variables into </w:t>
      </w:r>
      <w:proofErr w:type="spellStart"/>
      <w:r w:rsidR="00DF0AB3" w:rsidRPr="0079632A">
        <w:rPr>
          <w:rFonts w:asciiTheme="minorHAnsi" w:hAnsiTheme="minorHAnsi"/>
          <w:bCs/>
          <w:color w:val="000000" w:themeColor="text1"/>
          <w:sz w:val="22"/>
          <w:szCs w:val="22"/>
        </w:rPr>
        <w:t>tertiles</w:t>
      </w:r>
      <w:proofErr w:type="spellEnd"/>
      <w:r w:rsidR="00DF0AB3" w:rsidRPr="0079632A">
        <w:rPr>
          <w:rFonts w:asciiTheme="minorHAnsi" w:hAnsiTheme="minorHAnsi"/>
          <w:bCs/>
          <w:color w:val="000000" w:themeColor="text1"/>
          <w:sz w:val="22"/>
          <w:szCs w:val="22"/>
        </w:rPr>
        <w:t xml:space="preserve"> where the lowest </w:t>
      </w:r>
      <w:proofErr w:type="spellStart"/>
      <w:r w:rsidR="00DF0AB3" w:rsidRPr="0079632A">
        <w:rPr>
          <w:rFonts w:asciiTheme="minorHAnsi" w:hAnsiTheme="minorHAnsi"/>
          <w:bCs/>
          <w:color w:val="000000" w:themeColor="text1"/>
          <w:sz w:val="22"/>
          <w:szCs w:val="22"/>
        </w:rPr>
        <w:t>tertile</w:t>
      </w:r>
      <w:proofErr w:type="spellEnd"/>
      <w:r w:rsidR="00DF0AB3" w:rsidRPr="0079632A">
        <w:rPr>
          <w:rFonts w:asciiTheme="minorHAnsi" w:hAnsiTheme="minorHAnsi"/>
          <w:bCs/>
          <w:color w:val="000000" w:themeColor="text1"/>
          <w:sz w:val="22"/>
          <w:szCs w:val="22"/>
        </w:rPr>
        <w:t xml:space="preserve"> was coded to 1, the second to 2 and the highest </w:t>
      </w:r>
      <w:proofErr w:type="spellStart"/>
      <w:r w:rsidR="00DF0AB3" w:rsidRPr="0079632A">
        <w:rPr>
          <w:rFonts w:asciiTheme="minorHAnsi" w:hAnsiTheme="minorHAnsi"/>
          <w:bCs/>
          <w:color w:val="000000" w:themeColor="text1"/>
          <w:sz w:val="22"/>
          <w:szCs w:val="22"/>
        </w:rPr>
        <w:t>tertile</w:t>
      </w:r>
      <w:proofErr w:type="spellEnd"/>
      <w:r w:rsidR="00DF0AB3" w:rsidRPr="0079632A">
        <w:rPr>
          <w:rFonts w:asciiTheme="minorHAnsi" w:hAnsiTheme="minorHAnsi"/>
          <w:bCs/>
          <w:color w:val="000000" w:themeColor="text1"/>
          <w:sz w:val="22"/>
          <w:szCs w:val="22"/>
        </w:rPr>
        <w:t xml:space="preserve"> to 3. </w:t>
      </w:r>
      <w:r w:rsidRPr="0079632A">
        <w:rPr>
          <w:rFonts w:asciiTheme="minorHAnsi" w:hAnsiTheme="minorHAnsi"/>
          <w:color w:val="000000" w:themeColor="text1"/>
          <w:sz w:val="22"/>
          <w:szCs w:val="22"/>
        </w:rPr>
        <w:t>A simpler mixed-effect linear regression was repeated with similar explanatory power (not shown)</w:t>
      </w:r>
    </w:p>
    <w:p w:rsidR="001A417A" w:rsidRPr="0079632A" w:rsidRDefault="001A417A" w:rsidP="004266D5">
      <w:pPr>
        <w:pStyle w:val="PlainText"/>
        <w:rPr>
          <w:rFonts w:asciiTheme="minorHAnsi" w:hAnsiTheme="minorHAnsi"/>
          <w:bCs/>
          <w:color w:val="000000" w:themeColor="text1"/>
          <w:szCs w:val="22"/>
        </w:rPr>
      </w:pPr>
    </w:p>
    <w:p w:rsidR="004266D5" w:rsidRPr="0079632A" w:rsidRDefault="001A417A" w:rsidP="003C5EDF">
      <w:pPr>
        <w:pStyle w:val="PlainText"/>
        <w:rPr>
          <w:rFonts w:asciiTheme="minorHAnsi" w:hAnsiTheme="minorHAnsi"/>
          <w:bCs/>
          <w:color w:val="000000" w:themeColor="text1"/>
          <w:szCs w:val="22"/>
        </w:rPr>
      </w:pPr>
      <w:r w:rsidRPr="0079632A">
        <w:rPr>
          <w:rFonts w:asciiTheme="minorHAnsi" w:hAnsiTheme="minorHAnsi"/>
          <w:b/>
          <w:bCs/>
          <w:color w:val="000000" w:themeColor="text1"/>
          <w:szCs w:val="22"/>
        </w:rPr>
        <w:t>References</w:t>
      </w:r>
    </w:p>
    <w:p w:rsidR="008D3F20" w:rsidRPr="0079632A" w:rsidRDefault="003C5EDF" w:rsidP="00100316">
      <w:pPr>
        <w:pStyle w:val="PlainText"/>
        <w:numPr>
          <w:ilvl w:val="0"/>
          <w:numId w:val="8"/>
        </w:numPr>
        <w:rPr>
          <w:rFonts w:asciiTheme="minorHAnsi" w:hAnsiTheme="minorHAnsi"/>
          <w:bCs/>
          <w:color w:val="000000" w:themeColor="text1"/>
          <w:szCs w:val="22"/>
        </w:rPr>
      </w:pPr>
      <w:r w:rsidRPr="0079632A">
        <w:rPr>
          <w:rFonts w:asciiTheme="minorHAnsi" w:hAnsiTheme="minorHAnsi"/>
          <w:bCs/>
          <w:color w:val="000000" w:themeColor="text1"/>
          <w:szCs w:val="22"/>
        </w:rPr>
        <w:t>Honaker</w:t>
      </w:r>
      <w:r w:rsidR="00035E54" w:rsidRPr="0079632A">
        <w:rPr>
          <w:rFonts w:asciiTheme="minorHAnsi" w:hAnsiTheme="minorHAnsi"/>
          <w:bCs/>
          <w:color w:val="000000" w:themeColor="text1"/>
          <w:szCs w:val="22"/>
        </w:rPr>
        <w:t xml:space="preserve"> </w:t>
      </w:r>
      <w:r w:rsidRPr="0079632A">
        <w:rPr>
          <w:rFonts w:asciiTheme="minorHAnsi" w:hAnsiTheme="minorHAnsi"/>
          <w:bCs/>
          <w:color w:val="000000" w:themeColor="text1"/>
          <w:szCs w:val="22"/>
        </w:rPr>
        <w:t xml:space="preserve">J, Gary K. What </w:t>
      </w:r>
      <w:proofErr w:type="gramStart"/>
      <w:r w:rsidRPr="0079632A">
        <w:rPr>
          <w:rFonts w:asciiTheme="minorHAnsi" w:hAnsiTheme="minorHAnsi"/>
          <w:bCs/>
          <w:color w:val="000000" w:themeColor="text1"/>
          <w:szCs w:val="22"/>
        </w:rPr>
        <w:t>To</w:t>
      </w:r>
      <w:proofErr w:type="gramEnd"/>
      <w:r w:rsidRPr="0079632A">
        <w:rPr>
          <w:rFonts w:asciiTheme="minorHAnsi" w:hAnsiTheme="minorHAnsi"/>
          <w:bCs/>
          <w:color w:val="000000" w:themeColor="text1"/>
          <w:szCs w:val="22"/>
        </w:rPr>
        <w:t xml:space="preserve"> Do About Missing Values In </w:t>
      </w:r>
      <w:r w:rsidR="00035E54" w:rsidRPr="0079632A">
        <w:rPr>
          <w:rFonts w:asciiTheme="minorHAnsi" w:hAnsiTheme="minorHAnsi"/>
          <w:bCs/>
          <w:color w:val="000000" w:themeColor="text1"/>
          <w:szCs w:val="22"/>
        </w:rPr>
        <w:t>Time Series Cross-Section Data</w:t>
      </w:r>
      <w:r w:rsidR="00035E54" w:rsidRPr="0079632A">
        <w:rPr>
          <w:rFonts w:asciiTheme="minorHAnsi" w:hAnsiTheme="minorHAnsi"/>
          <w:bCs/>
          <w:i/>
          <w:color w:val="000000" w:themeColor="text1"/>
          <w:szCs w:val="22"/>
        </w:rPr>
        <w:t xml:space="preserve">. </w:t>
      </w:r>
      <w:r w:rsidRPr="0079632A">
        <w:rPr>
          <w:rFonts w:asciiTheme="minorHAnsi" w:hAnsiTheme="minorHAnsi"/>
          <w:bCs/>
          <w:i/>
          <w:color w:val="000000" w:themeColor="text1"/>
          <w:szCs w:val="22"/>
        </w:rPr>
        <w:t xml:space="preserve"> American Journal of Political Science</w:t>
      </w:r>
      <w:r w:rsidRPr="0079632A">
        <w:rPr>
          <w:rFonts w:asciiTheme="minorHAnsi" w:hAnsiTheme="minorHAnsi"/>
          <w:bCs/>
          <w:color w:val="000000" w:themeColor="text1"/>
          <w:szCs w:val="22"/>
        </w:rPr>
        <w:t xml:space="preserve"> </w:t>
      </w:r>
      <w:r w:rsidR="00035E54" w:rsidRPr="0079632A">
        <w:rPr>
          <w:rFonts w:asciiTheme="minorHAnsi" w:hAnsiTheme="minorHAnsi"/>
          <w:bCs/>
          <w:color w:val="000000" w:themeColor="text1"/>
          <w:szCs w:val="22"/>
        </w:rPr>
        <w:t xml:space="preserve">2010; </w:t>
      </w:r>
      <w:r w:rsidRPr="0079632A">
        <w:rPr>
          <w:rFonts w:asciiTheme="minorHAnsi" w:hAnsiTheme="minorHAnsi"/>
          <w:bCs/>
          <w:color w:val="000000" w:themeColor="text1"/>
          <w:szCs w:val="22"/>
        </w:rPr>
        <w:t>54</w:t>
      </w:r>
      <w:r w:rsidR="006E3835" w:rsidRPr="0079632A">
        <w:rPr>
          <w:rFonts w:asciiTheme="minorHAnsi" w:hAnsiTheme="minorHAnsi"/>
          <w:bCs/>
          <w:color w:val="000000" w:themeColor="text1"/>
          <w:szCs w:val="22"/>
        </w:rPr>
        <w:t>(3)</w:t>
      </w:r>
      <w:r w:rsidR="00035E54" w:rsidRPr="0079632A">
        <w:rPr>
          <w:rFonts w:asciiTheme="minorHAnsi" w:hAnsiTheme="minorHAnsi"/>
          <w:bCs/>
          <w:color w:val="000000" w:themeColor="text1"/>
          <w:szCs w:val="22"/>
        </w:rPr>
        <w:t>: 561-</w:t>
      </w:r>
      <w:r w:rsidRPr="0079632A">
        <w:rPr>
          <w:rFonts w:asciiTheme="minorHAnsi" w:hAnsiTheme="minorHAnsi"/>
          <w:bCs/>
          <w:color w:val="000000" w:themeColor="text1"/>
          <w:szCs w:val="22"/>
        </w:rPr>
        <w:t>81.</w:t>
      </w:r>
    </w:p>
    <w:p w:rsidR="008D3F20" w:rsidRPr="0079632A" w:rsidRDefault="00EC58DF" w:rsidP="00100316">
      <w:pPr>
        <w:pStyle w:val="PlainText"/>
        <w:numPr>
          <w:ilvl w:val="0"/>
          <w:numId w:val="8"/>
        </w:numPr>
        <w:rPr>
          <w:rFonts w:asciiTheme="minorHAnsi" w:hAnsiTheme="minorHAnsi"/>
          <w:bCs/>
          <w:color w:val="000000" w:themeColor="text1"/>
          <w:szCs w:val="22"/>
        </w:rPr>
      </w:pPr>
      <w:r w:rsidRPr="0079632A">
        <w:rPr>
          <w:rFonts w:asciiTheme="minorHAnsi" w:hAnsiTheme="minorHAnsi"/>
          <w:bCs/>
          <w:color w:val="000000" w:themeColor="text1"/>
          <w:szCs w:val="22"/>
        </w:rPr>
        <w:t>Nakagawa</w:t>
      </w:r>
      <w:r w:rsidR="00100316" w:rsidRPr="0079632A">
        <w:rPr>
          <w:rFonts w:asciiTheme="minorHAnsi" w:hAnsiTheme="minorHAnsi"/>
          <w:bCs/>
          <w:color w:val="000000" w:themeColor="text1"/>
          <w:szCs w:val="22"/>
        </w:rPr>
        <w:t xml:space="preserve"> S</w:t>
      </w:r>
      <w:r w:rsidRPr="0079632A">
        <w:rPr>
          <w:rFonts w:asciiTheme="minorHAnsi" w:hAnsiTheme="minorHAnsi"/>
          <w:bCs/>
          <w:color w:val="000000" w:themeColor="text1"/>
          <w:szCs w:val="22"/>
        </w:rPr>
        <w:t xml:space="preserve">, </w:t>
      </w:r>
      <w:proofErr w:type="spellStart"/>
      <w:r w:rsidRPr="0079632A">
        <w:rPr>
          <w:rFonts w:asciiTheme="minorHAnsi" w:hAnsiTheme="minorHAnsi"/>
          <w:bCs/>
          <w:color w:val="000000" w:themeColor="text1"/>
          <w:szCs w:val="22"/>
        </w:rPr>
        <w:t>Schielzeth</w:t>
      </w:r>
      <w:proofErr w:type="spellEnd"/>
      <w:r w:rsidR="00100316" w:rsidRPr="0079632A">
        <w:rPr>
          <w:rFonts w:asciiTheme="minorHAnsi" w:hAnsiTheme="minorHAnsi"/>
          <w:bCs/>
          <w:color w:val="000000" w:themeColor="text1"/>
          <w:szCs w:val="22"/>
        </w:rPr>
        <w:t xml:space="preserve"> H. A general and simple method for obtaining R2 from generalized linear mixed-effects models. </w:t>
      </w:r>
      <w:r w:rsidR="00100316" w:rsidRPr="0079632A">
        <w:rPr>
          <w:rFonts w:asciiTheme="minorHAnsi" w:hAnsiTheme="minorHAnsi"/>
          <w:bCs/>
          <w:i/>
          <w:color w:val="000000" w:themeColor="text1"/>
          <w:szCs w:val="22"/>
        </w:rPr>
        <w:t>Methods in Ecology and Evolution</w:t>
      </w:r>
      <w:r w:rsidRPr="0079632A">
        <w:rPr>
          <w:rFonts w:asciiTheme="minorHAnsi" w:hAnsiTheme="minorHAnsi"/>
          <w:bCs/>
          <w:i/>
          <w:color w:val="000000" w:themeColor="text1"/>
          <w:szCs w:val="22"/>
        </w:rPr>
        <w:t xml:space="preserve"> </w:t>
      </w:r>
      <w:r w:rsidRPr="0079632A">
        <w:rPr>
          <w:rFonts w:asciiTheme="minorHAnsi" w:hAnsiTheme="minorHAnsi"/>
          <w:bCs/>
          <w:color w:val="000000" w:themeColor="text1"/>
          <w:szCs w:val="22"/>
        </w:rPr>
        <w:t>2013; 4: 133–</w:t>
      </w:r>
      <w:r w:rsidR="00100316" w:rsidRPr="0079632A">
        <w:rPr>
          <w:rFonts w:asciiTheme="minorHAnsi" w:hAnsiTheme="minorHAnsi"/>
          <w:bCs/>
          <w:color w:val="000000" w:themeColor="text1"/>
          <w:szCs w:val="22"/>
        </w:rPr>
        <w:t xml:space="preserve">42. </w:t>
      </w:r>
    </w:p>
    <w:p w:rsidR="00460380" w:rsidRPr="0079632A" w:rsidRDefault="008D3F20" w:rsidP="00C737CE">
      <w:pPr>
        <w:pStyle w:val="PlainText"/>
        <w:numPr>
          <w:ilvl w:val="0"/>
          <w:numId w:val="8"/>
        </w:numPr>
        <w:rPr>
          <w:rFonts w:asciiTheme="minorHAnsi" w:hAnsiTheme="minorHAnsi"/>
          <w:bCs/>
          <w:color w:val="000000" w:themeColor="text1"/>
          <w:szCs w:val="22"/>
        </w:rPr>
      </w:pPr>
      <w:proofErr w:type="spellStart"/>
      <w:r w:rsidRPr="0079632A">
        <w:rPr>
          <w:rFonts w:asciiTheme="minorHAnsi" w:hAnsiTheme="minorHAnsi"/>
          <w:bCs/>
          <w:color w:val="000000" w:themeColor="text1"/>
          <w:szCs w:val="22"/>
        </w:rPr>
        <w:t>Dziuban</w:t>
      </w:r>
      <w:proofErr w:type="spellEnd"/>
      <w:r w:rsidRPr="0079632A">
        <w:rPr>
          <w:rFonts w:asciiTheme="minorHAnsi" w:hAnsiTheme="minorHAnsi"/>
          <w:bCs/>
          <w:color w:val="000000" w:themeColor="text1"/>
          <w:szCs w:val="22"/>
        </w:rPr>
        <w:t xml:space="preserve"> C D, </w:t>
      </w:r>
      <w:proofErr w:type="spellStart"/>
      <w:r w:rsidRPr="0079632A">
        <w:rPr>
          <w:rFonts w:asciiTheme="minorHAnsi" w:hAnsiTheme="minorHAnsi"/>
          <w:bCs/>
          <w:color w:val="000000" w:themeColor="text1"/>
          <w:szCs w:val="22"/>
        </w:rPr>
        <w:t>Shirkey</w:t>
      </w:r>
      <w:proofErr w:type="spellEnd"/>
      <w:r w:rsidRPr="0079632A">
        <w:rPr>
          <w:rFonts w:asciiTheme="minorHAnsi" w:hAnsiTheme="minorHAnsi"/>
          <w:bCs/>
          <w:color w:val="000000" w:themeColor="text1"/>
          <w:szCs w:val="22"/>
        </w:rPr>
        <w:t xml:space="preserve"> E C. When is a correlation matrix appropriate for factor analysis? Some decision rules. </w:t>
      </w:r>
      <w:r w:rsidRPr="0079632A">
        <w:rPr>
          <w:rFonts w:asciiTheme="minorHAnsi" w:hAnsiTheme="minorHAnsi"/>
          <w:bCs/>
          <w:i/>
          <w:color w:val="000000" w:themeColor="text1"/>
          <w:szCs w:val="22"/>
        </w:rPr>
        <w:t>Psychological Bulletin</w:t>
      </w:r>
      <w:r w:rsidRPr="0079632A">
        <w:rPr>
          <w:rFonts w:asciiTheme="minorHAnsi" w:hAnsiTheme="minorHAnsi"/>
          <w:bCs/>
          <w:color w:val="000000" w:themeColor="text1"/>
          <w:szCs w:val="22"/>
        </w:rPr>
        <w:t xml:space="preserve"> 1974; 81</w:t>
      </w:r>
      <w:r w:rsidR="006E3835" w:rsidRPr="0079632A">
        <w:rPr>
          <w:rFonts w:asciiTheme="minorHAnsi" w:hAnsiTheme="minorHAnsi"/>
          <w:bCs/>
          <w:color w:val="000000" w:themeColor="text1"/>
          <w:szCs w:val="22"/>
        </w:rPr>
        <w:t>(6)</w:t>
      </w:r>
      <w:r w:rsidRPr="0079632A">
        <w:rPr>
          <w:rFonts w:asciiTheme="minorHAnsi" w:hAnsiTheme="minorHAnsi"/>
          <w:bCs/>
          <w:color w:val="000000" w:themeColor="text1"/>
          <w:szCs w:val="22"/>
        </w:rPr>
        <w:t>: 358-61.</w:t>
      </w:r>
    </w:p>
    <w:sectPr w:rsidR="00460380" w:rsidRPr="0079632A" w:rsidSect="008959F6">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FF1" w:rsidRDefault="00CB1FF1" w:rsidP="00162C39">
      <w:r>
        <w:separator/>
      </w:r>
    </w:p>
  </w:endnote>
  <w:endnote w:type="continuationSeparator" w:id="0">
    <w:p w:rsidR="00CB1FF1" w:rsidRDefault="00CB1FF1" w:rsidP="00162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haker2Lancet-Bold">
    <w:panose1 w:val="00000000000000000000"/>
    <w:charset w:val="00"/>
    <w:family w:val="auto"/>
    <w:notTrueType/>
    <w:pitch w:val="default"/>
    <w:sig w:usb0="00000003" w:usb1="00000000" w:usb2="00000000" w:usb3="00000000" w:csb0="00000001" w:csb1="00000000"/>
  </w:font>
  <w:font w:name="Shaker2Lancet-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F6" w:rsidRDefault="00A93DD6" w:rsidP="00D15697">
    <w:pPr>
      <w:pStyle w:val="Footer"/>
      <w:framePr w:wrap="around" w:vAnchor="text" w:hAnchor="margin" w:xAlign="center" w:y="1"/>
      <w:rPr>
        <w:rStyle w:val="PageNumber"/>
      </w:rPr>
    </w:pPr>
    <w:r>
      <w:rPr>
        <w:rStyle w:val="PageNumber"/>
      </w:rPr>
      <w:fldChar w:fldCharType="begin"/>
    </w:r>
    <w:r w:rsidR="008959F6">
      <w:rPr>
        <w:rStyle w:val="PageNumber"/>
      </w:rPr>
      <w:instrText xml:space="preserve">PAGE  </w:instrText>
    </w:r>
    <w:r>
      <w:rPr>
        <w:rStyle w:val="PageNumber"/>
      </w:rPr>
      <w:fldChar w:fldCharType="end"/>
    </w:r>
  </w:p>
  <w:p w:rsidR="008959F6" w:rsidRDefault="008959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F6" w:rsidRDefault="00A93DD6" w:rsidP="00D15697">
    <w:pPr>
      <w:pStyle w:val="Footer"/>
      <w:framePr w:wrap="around" w:vAnchor="text" w:hAnchor="margin" w:xAlign="center" w:y="1"/>
      <w:rPr>
        <w:rStyle w:val="PageNumber"/>
      </w:rPr>
    </w:pPr>
    <w:r>
      <w:rPr>
        <w:rStyle w:val="PageNumber"/>
      </w:rPr>
      <w:fldChar w:fldCharType="begin"/>
    </w:r>
    <w:r w:rsidR="008959F6">
      <w:rPr>
        <w:rStyle w:val="PageNumber"/>
      </w:rPr>
      <w:instrText xml:space="preserve">PAGE  </w:instrText>
    </w:r>
    <w:r>
      <w:rPr>
        <w:rStyle w:val="PageNumber"/>
      </w:rPr>
      <w:fldChar w:fldCharType="separate"/>
    </w:r>
    <w:r w:rsidR="0066058A">
      <w:rPr>
        <w:rStyle w:val="PageNumber"/>
        <w:noProof/>
      </w:rPr>
      <w:t>3</w:t>
    </w:r>
    <w:r>
      <w:rPr>
        <w:rStyle w:val="PageNumber"/>
      </w:rPr>
      <w:fldChar w:fldCharType="end"/>
    </w:r>
  </w:p>
  <w:p w:rsidR="00162C39" w:rsidRDefault="00162C39">
    <w:pPr>
      <w:pStyle w:val="Footer"/>
      <w:jc w:val="center"/>
    </w:pPr>
  </w:p>
  <w:p w:rsidR="00162C39" w:rsidRDefault="00162C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348959"/>
      <w:docPartObj>
        <w:docPartGallery w:val="Page Numbers (Bottom of Page)"/>
        <w:docPartUnique/>
      </w:docPartObj>
    </w:sdtPr>
    <w:sdtEndPr>
      <w:rPr>
        <w:noProof/>
      </w:rPr>
    </w:sdtEndPr>
    <w:sdtContent>
      <w:p w:rsidR="003C2C0A" w:rsidRDefault="00A93DD6">
        <w:pPr>
          <w:pStyle w:val="Footer"/>
          <w:jc w:val="center"/>
        </w:pPr>
        <w:r>
          <w:fldChar w:fldCharType="begin"/>
        </w:r>
        <w:r w:rsidR="003C2C0A">
          <w:instrText xml:space="preserve"> PAGE   \* MERGEFORMAT </w:instrText>
        </w:r>
        <w:r>
          <w:fldChar w:fldCharType="separate"/>
        </w:r>
        <w:r w:rsidR="0066058A">
          <w:rPr>
            <w:noProof/>
          </w:rPr>
          <w:t>1</w:t>
        </w:r>
        <w:r>
          <w:rPr>
            <w:noProof/>
          </w:rPr>
          <w:fldChar w:fldCharType="end"/>
        </w:r>
      </w:p>
    </w:sdtContent>
  </w:sdt>
  <w:p w:rsidR="003C2C0A" w:rsidRDefault="003C2C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FF1" w:rsidRDefault="00CB1FF1" w:rsidP="00162C39">
      <w:r>
        <w:separator/>
      </w:r>
    </w:p>
  </w:footnote>
  <w:footnote w:type="continuationSeparator" w:id="0">
    <w:p w:rsidR="00CB1FF1" w:rsidRDefault="00CB1FF1" w:rsidP="00162C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4085"/>
    <w:multiLevelType w:val="hybridMultilevel"/>
    <w:tmpl w:val="A056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656C3"/>
    <w:multiLevelType w:val="hybridMultilevel"/>
    <w:tmpl w:val="04A8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34416"/>
    <w:multiLevelType w:val="hybridMultilevel"/>
    <w:tmpl w:val="E8CE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0337F"/>
    <w:multiLevelType w:val="hybridMultilevel"/>
    <w:tmpl w:val="4D0C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078E8"/>
    <w:multiLevelType w:val="hybridMultilevel"/>
    <w:tmpl w:val="D6F28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261D2"/>
    <w:multiLevelType w:val="hybridMultilevel"/>
    <w:tmpl w:val="CE4C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BA03F3"/>
    <w:multiLevelType w:val="hybridMultilevel"/>
    <w:tmpl w:val="4D0C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4303BB"/>
    <w:multiLevelType w:val="hybridMultilevel"/>
    <w:tmpl w:val="E8CE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2"/>
  </w:num>
  <w:num w:numId="5">
    <w:abstractNumId w:val="3"/>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29698"/>
  </w:hdrShapeDefaults>
  <w:footnotePr>
    <w:footnote w:id="-1"/>
    <w:footnote w:id="0"/>
  </w:footnotePr>
  <w:endnotePr>
    <w:endnote w:id="-1"/>
    <w:endnote w:id="0"/>
  </w:endnotePr>
  <w:compat/>
  <w:rsids>
    <w:rsidRoot w:val="00C13A9C"/>
    <w:rsid w:val="0000317B"/>
    <w:rsid w:val="000245D5"/>
    <w:rsid w:val="00035E54"/>
    <w:rsid w:val="000510D5"/>
    <w:rsid w:val="00066E95"/>
    <w:rsid w:val="00077DC6"/>
    <w:rsid w:val="00082196"/>
    <w:rsid w:val="00100316"/>
    <w:rsid w:val="001038B4"/>
    <w:rsid w:val="00131132"/>
    <w:rsid w:val="001418BE"/>
    <w:rsid w:val="00162C39"/>
    <w:rsid w:val="00163F44"/>
    <w:rsid w:val="00197D50"/>
    <w:rsid w:val="001A417A"/>
    <w:rsid w:val="001C32FD"/>
    <w:rsid w:val="001C37F6"/>
    <w:rsid w:val="001C60D8"/>
    <w:rsid w:val="001E192E"/>
    <w:rsid w:val="001E6A70"/>
    <w:rsid w:val="001F4561"/>
    <w:rsid w:val="0024469F"/>
    <w:rsid w:val="00244A6A"/>
    <w:rsid w:val="002652C5"/>
    <w:rsid w:val="00282C02"/>
    <w:rsid w:val="0029522B"/>
    <w:rsid w:val="002D19F1"/>
    <w:rsid w:val="002F290D"/>
    <w:rsid w:val="003452B6"/>
    <w:rsid w:val="003B2DF5"/>
    <w:rsid w:val="003B7EAB"/>
    <w:rsid w:val="003C2C0A"/>
    <w:rsid w:val="003C4C51"/>
    <w:rsid w:val="003C5EDF"/>
    <w:rsid w:val="003D4376"/>
    <w:rsid w:val="00402A78"/>
    <w:rsid w:val="00403082"/>
    <w:rsid w:val="00421DDE"/>
    <w:rsid w:val="004266D5"/>
    <w:rsid w:val="00436D47"/>
    <w:rsid w:val="00457E4D"/>
    <w:rsid w:val="00460380"/>
    <w:rsid w:val="00464763"/>
    <w:rsid w:val="004668A1"/>
    <w:rsid w:val="00487B68"/>
    <w:rsid w:val="004B1048"/>
    <w:rsid w:val="004C27BB"/>
    <w:rsid w:val="004F2C14"/>
    <w:rsid w:val="00510560"/>
    <w:rsid w:val="00510F72"/>
    <w:rsid w:val="00531C8D"/>
    <w:rsid w:val="00550535"/>
    <w:rsid w:val="00562E0C"/>
    <w:rsid w:val="00574EBD"/>
    <w:rsid w:val="00575A51"/>
    <w:rsid w:val="00583FA4"/>
    <w:rsid w:val="00595CDE"/>
    <w:rsid w:val="005B73DA"/>
    <w:rsid w:val="005D58AF"/>
    <w:rsid w:val="005D67DB"/>
    <w:rsid w:val="005F3A93"/>
    <w:rsid w:val="005F7F31"/>
    <w:rsid w:val="006027DE"/>
    <w:rsid w:val="00637B56"/>
    <w:rsid w:val="00652181"/>
    <w:rsid w:val="0066058A"/>
    <w:rsid w:val="00662E1E"/>
    <w:rsid w:val="0068507F"/>
    <w:rsid w:val="00687ECA"/>
    <w:rsid w:val="00694EB4"/>
    <w:rsid w:val="006B0311"/>
    <w:rsid w:val="006B0DE8"/>
    <w:rsid w:val="006C7DEC"/>
    <w:rsid w:val="006E3835"/>
    <w:rsid w:val="00725C1B"/>
    <w:rsid w:val="0073755E"/>
    <w:rsid w:val="0074730C"/>
    <w:rsid w:val="00761A36"/>
    <w:rsid w:val="0078230B"/>
    <w:rsid w:val="007840B4"/>
    <w:rsid w:val="00790196"/>
    <w:rsid w:val="00791697"/>
    <w:rsid w:val="0079632A"/>
    <w:rsid w:val="007C5567"/>
    <w:rsid w:val="007D486F"/>
    <w:rsid w:val="007F4757"/>
    <w:rsid w:val="0085547A"/>
    <w:rsid w:val="008568F6"/>
    <w:rsid w:val="008646F8"/>
    <w:rsid w:val="008959F6"/>
    <w:rsid w:val="00896748"/>
    <w:rsid w:val="008A61FC"/>
    <w:rsid w:val="008C5CA1"/>
    <w:rsid w:val="008D3F20"/>
    <w:rsid w:val="008D6917"/>
    <w:rsid w:val="008D76BB"/>
    <w:rsid w:val="008E6E50"/>
    <w:rsid w:val="008E71C1"/>
    <w:rsid w:val="00902DB6"/>
    <w:rsid w:val="00930129"/>
    <w:rsid w:val="00932ABB"/>
    <w:rsid w:val="00955AB0"/>
    <w:rsid w:val="00985FC2"/>
    <w:rsid w:val="00990957"/>
    <w:rsid w:val="009961AF"/>
    <w:rsid w:val="009E003B"/>
    <w:rsid w:val="00A03360"/>
    <w:rsid w:val="00A05D35"/>
    <w:rsid w:val="00A16720"/>
    <w:rsid w:val="00A33E40"/>
    <w:rsid w:val="00A574CF"/>
    <w:rsid w:val="00A81571"/>
    <w:rsid w:val="00A81A45"/>
    <w:rsid w:val="00A93DD6"/>
    <w:rsid w:val="00A946A8"/>
    <w:rsid w:val="00AA48C2"/>
    <w:rsid w:val="00AD253B"/>
    <w:rsid w:val="00B106A1"/>
    <w:rsid w:val="00B2362B"/>
    <w:rsid w:val="00B2643B"/>
    <w:rsid w:val="00B26AA7"/>
    <w:rsid w:val="00B6578E"/>
    <w:rsid w:val="00B86686"/>
    <w:rsid w:val="00BB72D8"/>
    <w:rsid w:val="00BC6FC3"/>
    <w:rsid w:val="00BF6CDF"/>
    <w:rsid w:val="00C13A9C"/>
    <w:rsid w:val="00C2402C"/>
    <w:rsid w:val="00C31C6D"/>
    <w:rsid w:val="00C44034"/>
    <w:rsid w:val="00C70E39"/>
    <w:rsid w:val="00C71ED4"/>
    <w:rsid w:val="00C737CE"/>
    <w:rsid w:val="00CB1FF1"/>
    <w:rsid w:val="00CB2676"/>
    <w:rsid w:val="00CD522F"/>
    <w:rsid w:val="00CD6601"/>
    <w:rsid w:val="00CD6DDC"/>
    <w:rsid w:val="00CF66D4"/>
    <w:rsid w:val="00D111C9"/>
    <w:rsid w:val="00D147C8"/>
    <w:rsid w:val="00D162A1"/>
    <w:rsid w:val="00D25ED9"/>
    <w:rsid w:val="00D36518"/>
    <w:rsid w:val="00D475A9"/>
    <w:rsid w:val="00D64040"/>
    <w:rsid w:val="00DA3CB8"/>
    <w:rsid w:val="00DA4AF6"/>
    <w:rsid w:val="00DB19E4"/>
    <w:rsid w:val="00DC4334"/>
    <w:rsid w:val="00DE5547"/>
    <w:rsid w:val="00DF0AB3"/>
    <w:rsid w:val="00DF0E3D"/>
    <w:rsid w:val="00E20CDB"/>
    <w:rsid w:val="00E45604"/>
    <w:rsid w:val="00E457A0"/>
    <w:rsid w:val="00EA2CE2"/>
    <w:rsid w:val="00EA4193"/>
    <w:rsid w:val="00EB516E"/>
    <w:rsid w:val="00EC0788"/>
    <w:rsid w:val="00EC58DF"/>
    <w:rsid w:val="00EE37E4"/>
    <w:rsid w:val="00F0005A"/>
    <w:rsid w:val="00F01443"/>
    <w:rsid w:val="00F127A2"/>
    <w:rsid w:val="00F51431"/>
    <w:rsid w:val="00F576B3"/>
    <w:rsid w:val="00F65057"/>
    <w:rsid w:val="00F76C3C"/>
    <w:rsid w:val="00FC1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518"/>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7F6"/>
    <w:pPr>
      <w:ind w:left="720"/>
      <w:contextualSpacing/>
    </w:pPr>
  </w:style>
  <w:style w:type="character" w:styleId="CommentReference">
    <w:name w:val="annotation reference"/>
    <w:basedOn w:val="DefaultParagraphFont"/>
    <w:uiPriority w:val="99"/>
    <w:semiHidden/>
    <w:unhideWhenUsed/>
    <w:rsid w:val="00CD6601"/>
    <w:rPr>
      <w:sz w:val="16"/>
      <w:szCs w:val="16"/>
    </w:rPr>
  </w:style>
  <w:style w:type="paragraph" w:styleId="CommentText">
    <w:name w:val="annotation text"/>
    <w:basedOn w:val="Normal"/>
    <w:link w:val="CommentTextChar"/>
    <w:uiPriority w:val="99"/>
    <w:semiHidden/>
    <w:unhideWhenUsed/>
    <w:rsid w:val="00CD6601"/>
    <w:rPr>
      <w:sz w:val="20"/>
      <w:szCs w:val="20"/>
    </w:rPr>
  </w:style>
  <w:style w:type="character" w:customStyle="1" w:styleId="CommentTextChar">
    <w:name w:val="Comment Text Char"/>
    <w:basedOn w:val="DefaultParagraphFont"/>
    <w:link w:val="CommentText"/>
    <w:uiPriority w:val="99"/>
    <w:semiHidden/>
    <w:rsid w:val="00CD6601"/>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D6601"/>
    <w:rPr>
      <w:b/>
      <w:bCs/>
    </w:rPr>
  </w:style>
  <w:style w:type="character" w:customStyle="1" w:styleId="CommentSubjectChar">
    <w:name w:val="Comment Subject Char"/>
    <w:basedOn w:val="CommentTextChar"/>
    <w:link w:val="CommentSubject"/>
    <w:uiPriority w:val="99"/>
    <w:semiHidden/>
    <w:rsid w:val="00CD6601"/>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CD6601"/>
    <w:rPr>
      <w:rFonts w:ascii="Tahoma" w:hAnsi="Tahoma" w:cs="Tahoma"/>
      <w:sz w:val="16"/>
      <w:szCs w:val="16"/>
    </w:rPr>
  </w:style>
  <w:style w:type="character" w:customStyle="1" w:styleId="BalloonTextChar">
    <w:name w:val="Balloon Text Char"/>
    <w:basedOn w:val="DefaultParagraphFont"/>
    <w:link w:val="BalloonText"/>
    <w:uiPriority w:val="99"/>
    <w:semiHidden/>
    <w:rsid w:val="00CD6601"/>
    <w:rPr>
      <w:rFonts w:ascii="Tahoma" w:eastAsia="MS Mincho" w:hAnsi="Tahoma" w:cs="Tahoma"/>
      <w:sz w:val="16"/>
      <w:szCs w:val="16"/>
    </w:rPr>
  </w:style>
  <w:style w:type="paragraph" w:styleId="Header">
    <w:name w:val="header"/>
    <w:basedOn w:val="Normal"/>
    <w:link w:val="HeaderChar"/>
    <w:uiPriority w:val="99"/>
    <w:unhideWhenUsed/>
    <w:rsid w:val="00162C39"/>
    <w:pPr>
      <w:tabs>
        <w:tab w:val="center" w:pos="4680"/>
        <w:tab w:val="right" w:pos="9360"/>
      </w:tabs>
    </w:pPr>
  </w:style>
  <w:style w:type="character" w:customStyle="1" w:styleId="HeaderChar">
    <w:name w:val="Header Char"/>
    <w:basedOn w:val="DefaultParagraphFont"/>
    <w:link w:val="Header"/>
    <w:uiPriority w:val="99"/>
    <w:rsid w:val="00162C39"/>
    <w:rPr>
      <w:rFonts w:ascii="Cambria" w:eastAsia="MS Mincho" w:hAnsi="Cambria" w:cs="Times New Roman"/>
      <w:sz w:val="24"/>
      <w:szCs w:val="24"/>
    </w:rPr>
  </w:style>
  <w:style w:type="paragraph" w:styleId="Footer">
    <w:name w:val="footer"/>
    <w:basedOn w:val="Normal"/>
    <w:link w:val="FooterChar"/>
    <w:uiPriority w:val="99"/>
    <w:unhideWhenUsed/>
    <w:rsid w:val="00162C39"/>
    <w:pPr>
      <w:tabs>
        <w:tab w:val="center" w:pos="4680"/>
        <w:tab w:val="right" w:pos="9360"/>
      </w:tabs>
    </w:pPr>
  </w:style>
  <w:style w:type="character" w:customStyle="1" w:styleId="FooterChar">
    <w:name w:val="Footer Char"/>
    <w:basedOn w:val="DefaultParagraphFont"/>
    <w:link w:val="Footer"/>
    <w:uiPriority w:val="99"/>
    <w:rsid w:val="00162C39"/>
    <w:rPr>
      <w:rFonts w:ascii="Cambria" w:eastAsia="MS Mincho" w:hAnsi="Cambria" w:cs="Times New Roman"/>
      <w:sz w:val="24"/>
      <w:szCs w:val="24"/>
    </w:rPr>
  </w:style>
  <w:style w:type="character" w:styleId="PageNumber">
    <w:name w:val="page number"/>
    <w:basedOn w:val="DefaultParagraphFont"/>
    <w:uiPriority w:val="99"/>
    <w:semiHidden/>
    <w:unhideWhenUsed/>
    <w:rsid w:val="008959F6"/>
  </w:style>
  <w:style w:type="character" w:styleId="Hyperlink">
    <w:name w:val="Hyperlink"/>
    <w:basedOn w:val="DefaultParagraphFont"/>
    <w:uiPriority w:val="99"/>
    <w:semiHidden/>
    <w:unhideWhenUsed/>
    <w:rsid w:val="00EB516E"/>
    <w:rPr>
      <w:color w:val="0000FF"/>
      <w:u w:val="single"/>
    </w:rPr>
  </w:style>
  <w:style w:type="paragraph" w:styleId="PlainText">
    <w:name w:val="Plain Text"/>
    <w:basedOn w:val="Normal"/>
    <w:link w:val="PlainTextChar"/>
    <w:uiPriority w:val="99"/>
    <w:unhideWhenUsed/>
    <w:rsid w:val="003C5EDF"/>
    <w:rPr>
      <w:rFonts w:ascii="Calibri" w:eastAsia="Times New Roman" w:hAnsi="Calibri" w:cs="Consolas"/>
      <w:sz w:val="22"/>
      <w:szCs w:val="21"/>
    </w:rPr>
  </w:style>
  <w:style w:type="character" w:customStyle="1" w:styleId="PlainTextChar">
    <w:name w:val="Plain Text Char"/>
    <w:basedOn w:val="DefaultParagraphFont"/>
    <w:link w:val="PlainText"/>
    <w:uiPriority w:val="99"/>
    <w:rsid w:val="003C5EDF"/>
    <w:rPr>
      <w:rFonts w:ascii="Calibri" w:eastAsia="Times New Roman" w:hAnsi="Calibri" w:cs="Consolas"/>
      <w:szCs w:val="21"/>
    </w:rPr>
  </w:style>
  <w:style w:type="table" w:styleId="TableGrid">
    <w:name w:val="Table Grid"/>
    <w:basedOn w:val="TableNormal"/>
    <w:uiPriority w:val="59"/>
    <w:rsid w:val="00265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518"/>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7F6"/>
    <w:pPr>
      <w:ind w:left="720"/>
      <w:contextualSpacing/>
    </w:pPr>
  </w:style>
  <w:style w:type="character" w:styleId="CommentReference">
    <w:name w:val="annotation reference"/>
    <w:basedOn w:val="DefaultParagraphFont"/>
    <w:uiPriority w:val="99"/>
    <w:semiHidden/>
    <w:unhideWhenUsed/>
    <w:rsid w:val="00CD6601"/>
    <w:rPr>
      <w:sz w:val="16"/>
      <w:szCs w:val="16"/>
    </w:rPr>
  </w:style>
  <w:style w:type="paragraph" w:styleId="CommentText">
    <w:name w:val="annotation text"/>
    <w:basedOn w:val="Normal"/>
    <w:link w:val="CommentTextChar"/>
    <w:uiPriority w:val="99"/>
    <w:semiHidden/>
    <w:unhideWhenUsed/>
    <w:rsid w:val="00CD6601"/>
    <w:rPr>
      <w:sz w:val="20"/>
      <w:szCs w:val="20"/>
    </w:rPr>
  </w:style>
  <w:style w:type="character" w:customStyle="1" w:styleId="CommentTextChar">
    <w:name w:val="Comment Text Char"/>
    <w:basedOn w:val="DefaultParagraphFont"/>
    <w:link w:val="CommentText"/>
    <w:uiPriority w:val="99"/>
    <w:semiHidden/>
    <w:rsid w:val="00CD6601"/>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D6601"/>
    <w:rPr>
      <w:b/>
      <w:bCs/>
    </w:rPr>
  </w:style>
  <w:style w:type="character" w:customStyle="1" w:styleId="CommentSubjectChar">
    <w:name w:val="Comment Subject Char"/>
    <w:basedOn w:val="CommentTextChar"/>
    <w:link w:val="CommentSubject"/>
    <w:uiPriority w:val="99"/>
    <w:semiHidden/>
    <w:rsid w:val="00CD6601"/>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CD6601"/>
    <w:rPr>
      <w:rFonts w:ascii="Tahoma" w:hAnsi="Tahoma" w:cs="Tahoma"/>
      <w:sz w:val="16"/>
      <w:szCs w:val="16"/>
    </w:rPr>
  </w:style>
  <w:style w:type="character" w:customStyle="1" w:styleId="BalloonTextChar">
    <w:name w:val="Balloon Text Char"/>
    <w:basedOn w:val="DefaultParagraphFont"/>
    <w:link w:val="BalloonText"/>
    <w:uiPriority w:val="99"/>
    <w:semiHidden/>
    <w:rsid w:val="00CD6601"/>
    <w:rPr>
      <w:rFonts w:ascii="Tahoma" w:eastAsia="MS Mincho" w:hAnsi="Tahoma" w:cs="Tahoma"/>
      <w:sz w:val="16"/>
      <w:szCs w:val="16"/>
    </w:rPr>
  </w:style>
  <w:style w:type="paragraph" w:styleId="Header">
    <w:name w:val="header"/>
    <w:basedOn w:val="Normal"/>
    <w:link w:val="HeaderChar"/>
    <w:uiPriority w:val="99"/>
    <w:unhideWhenUsed/>
    <w:rsid w:val="00162C39"/>
    <w:pPr>
      <w:tabs>
        <w:tab w:val="center" w:pos="4680"/>
        <w:tab w:val="right" w:pos="9360"/>
      </w:tabs>
    </w:pPr>
  </w:style>
  <w:style w:type="character" w:customStyle="1" w:styleId="HeaderChar">
    <w:name w:val="Header Char"/>
    <w:basedOn w:val="DefaultParagraphFont"/>
    <w:link w:val="Header"/>
    <w:uiPriority w:val="99"/>
    <w:rsid w:val="00162C39"/>
    <w:rPr>
      <w:rFonts w:ascii="Cambria" w:eastAsia="MS Mincho" w:hAnsi="Cambria" w:cs="Times New Roman"/>
      <w:sz w:val="24"/>
      <w:szCs w:val="24"/>
    </w:rPr>
  </w:style>
  <w:style w:type="paragraph" w:styleId="Footer">
    <w:name w:val="footer"/>
    <w:basedOn w:val="Normal"/>
    <w:link w:val="FooterChar"/>
    <w:uiPriority w:val="99"/>
    <w:unhideWhenUsed/>
    <w:rsid w:val="00162C39"/>
    <w:pPr>
      <w:tabs>
        <w:tab w:val="center" w:pos="4680"/>
        <w:tab w:val="right" w:pos="9360"/>
      </w:tabs>
    </w:pPr>
  </w:style>
  <w:style w:type="character" w:customStyle="1" w:styleId="FooterChar">
    <w:name w:val="Footer Char"/>
    <w:basedOn w:val="DefaultParagraphFont"/>
    <w:link w:val="Footer"/>
    <w:uiPriority w:val="99"/>
    <w:rsid w:val="00162C39"/>
    <w:rPr>
      <w:rFonts w:ascii="Cambria" w:eastAsia="MS Mincho" w:hAnsi="Cambria" w:cs="Times New Roman"/>
      <w:sz w:val="24"/>
      <w:szCs w:val="24"/>
    </w:rPr>
  </w:style>
  <w:style w:type="character" w:styleId="PageNumber">
    <w:name w:val="page number"/>
    <w:basedOn w:val="DefaultParagraphFont"/>
    <w:uiPriority w:val="99"/>
    <w:semiHidden/>
    <w:unhideWhenUsed/>
    <w:rsid w:val="008959F6"/>
  </w:style>
  <w:style w:type="character" w:styleId="Hyperlink">
    <w:name w:val="Hyperlink"/>
    <w:basedOn w:val="DefaultParagraphFont"/>
    <w:uiPriority w:val="99"/>
    <w:semiHidden/>
    <w:unhideWhenUsed/>
    <w:rsid w:val="00EB516E"/>
    <w:rPr>
      <w:color w:val="0000FF"/>
      <w:u w:val="single"/>
    </w:rPr>
  </w:style>
  <w:style w:type="paragraph" w:styleId="PlainText">
    <w:name w:val="Plain Text"/>
    <w:basedOn w:val="Normal"/>
    <w:link w:val="PlainTextChar"/>
    <w:uiPriority w:val="99"/>
    <w:unhideWhenUsed/>
    <w:rsid w:val="003C5EDF"/>
    <w:rPr>
      <w:rFonts w:ascii="Calibri" w:eastAsia="Times New Roman" w:hAnsi="Calibri" w:cs="Consolas"/>
      <w:sz w:val="22"/>
      <w:szCs w:val="21"/>
    </w:rPr>
  </w:style>
  <w:style w:type="character" w:customStyle="1" w:styleId="PlainTextChar">
    <w:name w:val="Plain Text Char"/>
    <w:basedOn w:val="DefaultParagraphFont"/>
    <w:link w:val="PlainText"/>
    <w:uiPriority w:val="99"/>
    <w:rsid w:val="003C5EDF"/>
    <w:rPr>
      <w:rFonts w:ascii="Calibri" w:eastAsia="Times New Roman" w:hAnsi="Calibri" w:cs="Consolas"/>
      <w:szCs w:val="21"/>
    </w:rPr>
  </w:style>
</w:styles>
</file>

<file path=word/webSettings.xml><?xml version="1.0" encoding="utf-8"?>
<w:webSettings xmlns:r="http://schemas.openxmlformats.org/officeDocument/2006/relationships" xmlns:w="http://schemas.openxmlformats.org/wordprocessingml/2006/main">
  <w:divs>
    <w:div w:id="1375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cghr@smh.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 Ram</dc:creator>
  <cp:lastModifiedBy>Dr.Usha</cp:lastModifiedBy>
  <cp:revision>5</cp:revision>
  <cp:lastPrinted>2015-08-24T15:35:00Z</cp:lastPrinted>
  <dcterms:created xsi:type="dcterms:W3CDTF">2015-08-24T15:37:00Z</dcterms:created>
  <dcterms:modified xsi:type="dcterms:W3CDTF">2015-08-26T12:15:00Z</dcterms:modified>
</cp:coreProperties>
</file>